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14:paraId="32675124">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exact" w:line="600"/>
        <w:jc w:val="center"/>
        <w:textAlignment w:val="auto"/>
        <w:outlineLvl w:val="9"/>
        <w:rPr>
          <w:rFonts w:ascii="宋体" w:cs="宋体" w:eastAsia="宋体" w:hAnsi="宋体" w:hint="eastAsia"/>
          <w:b/>
          <w:bCs/>
          <w:sz w:val="44"/>
          <w:szCs w:val="44"/>
          <w:lang w:val="en-US" w:eastAsia="zh-CN"/>
        </w:rPr>
      </w:pPr>
      <w:bookmarkStart w:id="0" w:name="_GoBack"/>
      <w:bookmarkEnd w:id="0"/>
      <w:r>
        <w:rPr>
          <w:rFonts w:ascii="宋体" w:cs="宋体" w:eastAsia="宋体" w:hAnsi="宋体" w:hint="default"/>
          <w:b/>
          <w:bCs/>
          <w:sz w:val="44"/>
          <w:szCs w:val="44"/>
          <w:lang w:val="en-US" w:eastAsia="zh-CN"/>
        </w:rPr>
        <w:t>起诉状</w:t>
      </w:r>
    </w:p>
    <w:p w14:paraId="BCAE869E">
      <w:pPr>
        <w:pStyle w:val="style0"/>
        <w:kinsoku w:val="false"/>
        <w:autoSpaceDE w:val="false"/>
        <w:autoSpaceDN w:val="false"/>
        <w:adjustRightInd w:val="false"/>
        <w:snapToGrid w:val="false"/>
        <w:spacing w:before="103" w:lineRule="auto" w:line="175"/>
        <w:jc w:val="left"/>
        <w:textAlignment w:val="baseline"/>
        <w:rPr>
          <w:rFonts w:ascii="仿宋_GB2312" w:cs="仿宋_GB2312" w:eastAsia="仿宋_GB2312" w:hAnsi="仿宋_GB2312" w:hint="eastAsia"/>
          <w:b/>
          <w:bCs/>
          <w:sz w:val="24"/>
          <w:szCs w:val="24"/>
        </w:rPr>
      </w:pPr>
    </w:p>
    <w:p w14:paraId="105FFA9E">
      <w:pPr>
        <w:pStyle w:val="style0"/>
        <w:kinsoku w:val="false"/>
        <w:autoSpaceDE w:val="false"/>
        <w:autoSpaceDN w:val="false"/>
        <w:adjustRightInd w:val="false"/>
        <w:snapToGrid w:val="false"/>
        <w:spacing w:before="103" w:lineRule="auto" w:line="175"/>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仿宋_GB2312" w:cs="仿宋_GB2312" w:eastAsia="仿宋_GB2312" w:hAnsi="仿宋_GB2312" w:hint="default"/>
          <w:b/>
          <w:bCs/>
          <w:sz w:val="24"/>
          <w:szCs w:val="24"/>
          <w:lang w:val="en-US"/>
        </w:rPr>
        <w:t>起诉</w:t>
      </w:r>
      <w:r>
        <w:rPr>
          <w:rFonts w:ascii="仿宋_GB2312" w:cs="仿宋_GB2312" w:eastAsia="仿宋_GB2312" w:hAnsi="仿宋_GB2312" w:hint="eastAsia"/>
          <w:b/>
          <w:bCs/>
          <w:sz w:val="24"/>
          <w:szCs w:val="24"/>
        </w:rPr>
        <w:t>人</w:t>
      </w:r>
      <w:r>
        <w:rPr>
          <w:rFonts w:ascii="仿宋_GB2312" w:cs="仿宋_GB2312" w:eastAsia="仿宋_GB2312" w:hAnsi="仿宋_GB2312" w:hint="default"/>
          <w:b/>
          <w:bCs/>
          <w:sz w:val="24"/>
          <w:szCs w:val="24"/>
          <w:lang w:val="en-US"/>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何义军, 男, 汉族, </w:t>
      </w:r>
      <w:r>
        <w:rPr>
          <w:rFonts w:ascii="宋体" w:cs="Microsoft YaHei" w:eastAsia="宋体" w:hAnsi="Microsoft YaHei" w:hint="default"/>
          <w:b w:val="false"/>
          <w:bCs w:val="false"/>
          <w:i w:val="false"/>
          <w:iCs w:val="false"/>
          <w:noProof/>
          <w:snapToGrid w:val="false"/>
          <w:color w:val="000000"/>
          <w:spacing w:val="-13"/>
          <w:kern w:val="0"/>
          <w:sz w:val="24"/>
          <w:szCs w:val="24"/>
          <w:highlight w:val="none"/>
          <w:vertAlign w:val="baseline"/>
          <w:em w:val="none"/>
          <w:lang w:val="en-US" w:bidi="ar-SA" w:eastAsia="en-US"/>
        </w:rPr>
        <w:t>公民身份号431126198402221233,</w:t>
      </w:r>
    </w:p>
    <w:p w14:paraId="714E5E51">
      <w:pPr>
        <w:pStyle w:val="style0"/>
        <w:kinsoku w:val="false"/>
        <w:autoSpaceDE w:val="false"/>
        <w:autoSpaceDN w:val="false"/>
        <w:adjustRightInd w:val="false"/>
        <w:snapToGrid w:val="false"/>
        <w:spacing w:before="103" w:lineRule="auto" w:line="175"/>
        <w:ind w:left="840" w:leftChars="0"/>
        <w:jc w:val="left"/>
        <w:textAlignment w:val="baseline"/>
        <w:rPr>
          <w:sz w:val="24"/>
          <w:szCs w:val="24"/>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xml:space="preserve">住四川省成都市高新区天府大道北段18号附10号,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电话19250199051。</w:t>
      </w:r>
    </w:p>
    <w:p w14:paraId="82E7DF56">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被起诉人</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 中国人民银行, 北京市西城区成方街32号(邮编100800), 电话010-66194114</w:t>
      </w:r>
    </w:p>
    <w:p w14:paraId="EF3E347D">
      <w:pPr>
        <w:pStyle w:val="style0"/>
        <w:kinsoku w:val="false"/>
        <w:autoSpaceDE w:val="false"/>
        <w:autoSpaceDN w:val="false"/>
        <w:adjustRightInd w:val="false"/>
        <w:snapToGrid w:val="false"/>
        <w:spacing w:before="103" w:lineRule="auto" w:line="180"/>
        <w:ind w:left="84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法定代表人:潘功胜, 统一社会信用代码: 111000000000132071</w:t>
      </w:r>
    </w:p>
    <w:p w14:paraId="7F8B7047">
      <w:pPr>
        <w:pStyle w:val="style0"/>
        <w:kinsoku w:val="false"/>
        <w:autoSpaceDE w:val="false"/>
        <w:autoSpaceDN w:val="false"/>
        <w:adjustRightInd w:val="false"/>
        <w:snapToGrid w:val="false"/>
        <w:spacing w:before="103" w:lineRule="auto" w:line="18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名词简写及解释:</w:t>
      </w:r>
    </w:p>
    <w:p w14:paraId="A7A87A75">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中国</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中华人民共和国。</w:t>
      </w:r>
    </w:p>
    <w:p w14:paraId="DE8D3049">
      <w:pPr>
        <w:pStyle w:val="style0"/>
        <w:kinsoku w:val="false"/>
        <w:autoSpaceDE w:val="false"/>
        <w:autoSpaceDN w:val="false"/>
        <w:adjustRightInd w:val="false"/>
        <w:snapToGrid w:val="false"/>
        <w:spacing w:before="103" w:lineRule="auto" w:line="180"/>
        <w:ind w:left="21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人行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又简称"人民银行", 全称"中国人民银行"。中华人民共和国核心组织之一。</w:t>
      </w:r>
    </w:p>
    <w:p w14:paraId="1AF23B8E">
      <w:pPr>
        <w:pStyle w:val="style0"/>
        <w:kinsoku w:val="false"/>
        <w:autoSpaceDE w:val="false"/>
        <w:autoSpaceDN w:val="false"/>
        <w:adjustRightInd w:val="false"/>
        <w:snapToGrid w:val="false"/>
        <w:spacing w:before="103" w:lineRule="auto" w:line="180"/>
        <w:ind w:left="210" w:leftChars="0"/>
        <w:jc w:val="left"/>
        <w:textAlignment w:val="baseline"/>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Calibri" w:cs="Times New Roman" w:eastAsia="宋体" w:hAnsi="Calibri" w:hint="default"/>
          <w:b/>
          <w:bCs/>
          <w:i w:val="false"/>
          <w:iCs w:val="false"/>
          <w:color w:val="auto"/>
          <w:kern w:val="2"/>
          <w:sz w:val="24"/>
          <w:szCs w:val="24"/>
          <w:highlight w:val="none"/>
          <w:vertAlign w:val="baseline"/>
          <w:em w:val="none"/>
          <w:lang w:val="en-US" w:bidi="ar-SA" w:eastAsia="zh-CN"/>
        </w:rPr>
        <w:t xml:space="preserve">   国金认证</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全称"北京国家金融科技认证中心有限公司"</w:t>
      </w:r>
      <w:r>
        <w:rPr>
          <w:rFonts w:ascii="Calibri" w:cs="Times New Roman" w:hAnsi="Calibri" w:hint="default"/>
          <w:b w:val="false"/>
          <w:bCs w:val="false"/>
          <w:i w:val="false"/>
          <w:iCs w:val="false"/>
          <w:color w:val="auto"/>
          <w:kern w:val="2"/>
          <w:sz w:val="24"/>
          <w:szCs w:val="24"/>
          <w:highlight w:val="none"/>
          <w:vertAlign w:val="baseline"/>
          <w:em w:val="none"/>
          <w:lang w:val="en-US" w:bidi="ar-SA" w:eastAsia="zh-CN"/>
        </w:rPr>
        <w:t>，</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国家级第三方合格评定机构。</w:t>
      </w:r>
    </w:p>
    <w:p w14:paraId="D87BE588">
      <w:pPr>
        <w:pStyle w:val="style0"/>
        <w:kinsoku w:val="false"/>
        <w:autoSpaceDE w:val="false"/>
        <w:autoSpaceDN w:val="false"/>
        <w:adjustRightInd w:val="false"/>
        <w:snapToGrid w:val="false"/>
        <w:spacing w:before="103" w:lineRule="auto" w:line="180"/>
        <w:ind w:left="1680" w:leftChars="0"/>
        <w:jc w:val="left"/>
        <w:textAlignment w:val="baseline"/>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人行通过"中国金融电子化公司的"全资控股子公司(国家企业信用查验)</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p>
    <w:p w14:paraId="0FA279A1">
      <w:pPr>
        <w:pStyle w:val="style0"/>
        <w:adjustRightInd/>
        <w:snapToGrid/>
        <w:spacing w:lineRule="auto" w:line="240"/>
        <w:ind w:left="21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微信支付</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w:t>
      </w:r>
      <w:r>
        <w:rPr>
          <w:rFonts w:ascii="宋体" w:cs="Times New Roman" w:eastAsia="宋体" w:hAnsi="Times New Roman" w:hint="default"/>
          <w:b/>
          <w:bCs/>
          <w:i w:val="false"/>
          <w:iCs w:val="false"/>
          <w:noProof/>
          <w:snapToGrid w:val="false"/>
          <w:color w:val="auto"/>
          <w:kern w:val="2"/>
          <w:sz w:val="24"/>
          <w:szCs w:val="24"/>
          <w:highlight w:val="none"/>
          <w:vertAlign w:val="baseline"/>
          <w:em w:val="none"/>
          <w:lang w:val="en-US" w:bidi="ar-SA" w:eastAsia="zh-CN"/>
        </w:rPr>
        <w:t xml:space="preserve"> </w:t>
      </w:r>
      <w:r>
        <w:rPr>
          <w:rFonts w:ascii="宋体" w:cs="Times New Roman" w:eastAsia="宋体" w:hAnsi="Times New Roman" w:hint="default"/>
          <w:b w:val="false"/>
          <w:bCs w:val="false"/>
          <w:i w:val="false"/>
          <w:iCs w:val="false"/>
          <w:noProof/>
          <w:snapToGrid w:val="false"/>
          <w:color w:val="auto"/>
          <w:kern w:val="2"/>
          <w:sz w:val="24"/>
          <w:szCs w:val="24"/>
          <w:highlight w:val="none"/>
          <w:vertAlign w:val="baseline"/>
          <w:em w:val="none"/>
          <w:lang w:val="en-US" w:bidi="ar-SA" w:eastAsia="zh-CN"/>
        </w:rPr>
        <w:t>又简称"财付通", 全称"</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财付通支付科技有限公司", 腾讯系子公司。</w:t>
      </w:r>
    </w:p>
    <w:p w14:paraId="5EE4AA3A">
      <w:pPr>
        <w:pStyle w:val="style0"/>
        <w:kinsoku w:val="false"/>
        <w:autoSpaceDE w:val="false"/>
        <w:autoSpaceDN w:val="false"/>
        <w:adjustRightInd w:val="false"/>
        <w:snapToGrid w:val="false"/>
        <w:spacing w:lineRule="exact" w:line="260"/>
        <w:jc w:val="left"/>
        <w:textAlignment w:val="baseline"/>
        <w:rPr/>
      </w:pPr>
      <w:r>
        <w:rPr>
          <w:rFonts w:ascii="宋体" w:cs="Arial" w:eastAsia="宋体" w:hAnsi="宋体" w:hint="default"/>
          <w:b/>
          <w:bCs/>
          <w:i w:val="false"/>
          <w:iCs w:val="false"/>
          <w:noProof/>
          <w:snapToGrid w:val="false"/>
          <w:color w:val="36363d"/>
          <w:kern w:val="0"/>
          <w:sz w:val="24"/>
          <w:szCs w:val="24"/>
          <w:highlight w:val="none"/>
          <w:vertAlign w:val="baseline"/>
          <w:em w:val="none"/>
          <w:lang w:val="en-US" w:eastAsia="en-US"/>
        </w:rPr>
        <w:t xml:space="preserve"> 诉微信支付案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"何义军</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原告)"于2025年6月30日,</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起诉</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"财付通(被告)"违约违法,</w:t>
      </w:r>
    </w:p>
    <w:p w14:paraId="618AEA26">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u w:val="non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故意侵占财产,</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 xml:space="preserve"> </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造成并扩大致其损失巨大</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的案例,</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w:t>
      </w:r>
    </w:p>
    <w:p w14:paraId="DB3DA05E">
      <w:pPr>
        <w:pStyle w:val="style0"/>
        <w:kinsoku w:val="false"/>
        <w:autoSpaceDE w:val="false"/>
        <w:autoSpaceDN w:val="false"/>
        <w:adjustRightInd w:val="false"/>
        <w:snapToGrid w:val="false"/>
        <w:spacing w:lineRule="exact" w:line="260"/>
        <w:ind w:left="1470" w:leftChars="0"/>
        <w:jc w:val="left"/>
        <w:textAlignment w:val="baseline"/>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pP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 xml:space="preserve">  由"深圳前海合作区人民法院</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"于同年7月30日立案</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p>
    <w:p w14:paraId="3D171E2B">
      <w:pPr>
        <w:pStyle w:val="style0"/>
        <w:kinsoku w:val="false"/>
        <w:autoSpaceDE w:val="false"/>
        <w:autoSpaceDN w:val="false"/>
        <w:adjustRightInd w:val="false"/>
        <w:snapToGrid w:val="false"/>
        <w:spacing w:lineRule="exact" w:line="260"/>
        <w:ind w:left="1470" w:leftChars="0"/>
        <w:jc w:val="left"/>
        <w:textAlignment w:val="baseline"/>
        <w:rPr>
          <w:rFonts w:ascii="仿宋_GB2312" w:cs="仿宋_GB2312" w:eastAsia="仿宋_GB2312" w:hAnsi="仿宋_GB2312" w:hint="eastAsia"/>
          <w:b w:val="false"/>
          <w:bCs w:val="false"/>
          <w:sz w:val="24"/>
          <w:szCs w:val="24"/>
          <w:lang w:val="en-US" w:eastAsia="zh-CN"/>
        </w:rPr>
      </w:pP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 xml:space="preserve">  案</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由"</w:t>
      </w:r>
      <w:r>
        <w:rPr>
          <w:rFonts w:ascii="宋体" w:cs="Arial" w:eastAsia="宋体" w:hAnsi="宋体" w:hint="default"/>
          <w:b w:val="false"/>
          <w:bCs w:val="false"/>
          <w:i w:val="false"/>
          <w:iCs w:val="false"/>
          <w:noProof/>
          <w:snapToGrid w:val="false"/>
          <w:color w:val="36363d"/>
          <w:kern w:val="0"/>
          <w:sz w:val="24"/>
          <w:szCs w:val="24"/>
          <w:highlight w:val="none"/>
          <w:u w:val="single" w:color="auto"/>
          <w:vertAlign w:val="baseline"/>
          <w:em w:val="none"/>
          <w:lang w:val="en-US" w:eastAsia="en-US"/>
        </w:rPr>
        <w:t>网络服务合同纠纷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Arial" w:hint="default"/>
          <w:b w:val="false"/>
          <w:bCs w:val="false"/>
          <w:i w:val="false"/>
          <w:iCs w:val="false"/>
          <w:noProof/>
          <w:snapToGrid w:val="false"/>
          <w:color w:val="36363d"/>
          <w:kern w:val="0"/>
          <w:sz w:val="24"/>
          <w:szCs w:val="24"/>
          <w:highlight w:val="none"/>
          <w:vertAlign w:val="baseline"/>
          <w:em w:val="none"/>
          <w:lang w:val="en-US" w:eastAsia="en-US"/>
        </w:rPr>
        <w:t>，</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编号"</w:t>
      </w:r>
      <w:r>
        <w:rPr>
          <w:rFonts w:ascii="宋体" w:cs="Arial" w:eastAsia="宋体" w:hAnsi="宋体" w:hint="default"/>
          <w:b/>
          <w:bCs/>
          <w:i w:val="false"/>
          <w:iCs w:val="false"/>
          <w:noProof/>
          <w:snapToGrid w:val="false"/>
          <w:color w:val="36363d"/>
          <w:kern w:val="0"/>
          <w:sz w:val="24"/>
          <w:szCs w:val="24"/>
          <w:highlight w:val="none"/>
          <w:u w:val="single" w:color="auto"/>
          <w:vertAlign w:val="baseline"/>
          <w:em w:val="none"/>
          <w:lang w:val="en-US" w:eastAsia="en-US"/>
        </w:rPr>
        <w:t>(2025)粤0391民初8980号</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eastAsia="en-US"/>
        </w:rPr>
        <w:t>"。</w:t>
      </w:r>
    </w:p>
    <w:p w14:paraId="67E2902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pPr>
    </w:p>
    <w:p w14:paraId="94C2EA7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eastAsia"/>
          <w:b w:val="false"/>
          <w:bCs w:val="false"/>
          <w:sz w:val="24"/>
          <w:szCs w:val="24"/>
          <w:u w:val="none"/>
          <w:lang w:val="en-US" w:eastAsia="zh-CN"/>
        </w:rPr>
      </w:pPr>
      <w:r>
        <w:rPr>
          <w:rFonts w:ascii="宋体" w:cs="Microsoft YaHei" w:eastAsia="宋体" w:hAnsi="Microsoft YaHei" w:hint="default"/>
          <w:b/>
          <w:bCs/>
          <w:i w:val="false"/>
          <w:iCs w:val="false"/>
          <w:noProof/>
          <w:snapToGrid w:val="false"/>
          <w:color w:val="000000"/>
          <w:spacing w:val="11"/>
          <w:kern w:val="0"/>
          <w:sz w:val="24"/>
          <w:szCs w:val="24"/>
          <w:highlight w:val="none"/>
          <w:vertAlign w:val="baseline"/>
          <w:em w:val="none"/>
          <w:lang w:val="en-US" w:bidi="ar-SA" w:eastAsia="en-US"/>
        </w:rPr>
        <w:t>起诉请求</w:t>
      </w:r>
      <w:r>
        <w:rPr>
          <w:rFonts w:ascii="黑体" w:cs="黑体" w:eastAsia="黑体" w:hAnsi="黑体" w:hint="eastAsia"/>
          <w:b w:val="false"/>
          <w:bCs w:val="false"/>
          <w:sz w:val="24"/>
          <w:szCs w:val="24"/>
          <w:u w:val="none"/>
          <w:lang w:val="en-US" w:eastAsia="zh-CN"/>
        </w:rPr>
        <w:t>：</w:t>
      </w:r>
    </w:p>
    <w:p w14:paraId="3CDB9A8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黑体" w:cs="黑体" w:eastAsia="黑体" w:hAnsi="黑体" w:hint="default"/>
          <w:b w:val="false"/>
          <w:bCs w:val="false"/>
          <w:sz w:val="24"/>
          <w:szCs w:val="24"/>
          <w:u w:val="single"/>
          <w:lang w:val="en-US" w:eastAsia="zh-CN"/>
        </w:rPr>
        <w:t>为防止"一鉴定就合格"而"用户一用就千奇百怪"，</w:t>
      </w:r>
      <w:r>
        <w:rPr>
          <w:rFonts w:ascii="黑体" w:cs="黑体" w:eastAsia="黑体" w:hAnsi="黑体" w:hint="default"/>
          <w:b/>
          <w:bCs/>
          <w:sz w:val="24"/>
          <w:szCs w:val="24"/>
          <w:u w:val="single"/>
          <w:lang w:val="en-US" w:eastAsia="zh-CN"/>
        </w:rPr>
        <w:t>鉴定必须</w:t>
      </w:r>
      <w:r>
        <w:rPr>
          <w:rFonts w:ascii="黑体" w:cs="黑体" w:eastAsia="黑体" w:hAnsi="黑体" w:hint="default"/>
          <w:b/>
          <w:bCs/>
          <w:i w:val="false"/>
          <w:iCs w:val="false"/>
          <w:noProof/>
          <w:snapToGrid w:val="false"/>
          <w:color w:val="000000"/>
          <w:kern w:val="0"/>
          <w:sz w:val="24"/>
          <w:szCs w:val="24"/>
          <w:highlight w:val="none"/>
          <w:u w:val="single"/>
          <w:vertAlign w:val="baseline"/>
          <w:em w:val="none"/>
          <w:lang w:val="en-US" w:bidi="ar-SA" w:eastAsia="zh-CN"/>
        </w:rPr>
        <w:t>基于"终端用户"的真实证据</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BBC5980">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即使，腾讯系不操纵检测鉴定、司法公正、社会和国家秩序，</w:t>
      </w:r>
      <w:r>
        <w:rPr>
          <w:rFonts w:ascii="黑体" w:cs="黑体" w:eastAsia="黑体" w:hAnsi="黑体" w:hint="default"/>
          <w:b w:val="false"/>
          <w:bCs w:val="false"/>
          <w:i w:val="false"/>
          <w:iCs w:val="false"/>
          <w:noProof/>
          <w:snapToGrid w:val="false"/>
          <w:color w:val="000000"/>
          <w:kern w:val="0"/>
          <w:sz w:val="24"/>
          <w:szCs w:val="24"/>
          <w:highlight w:val="none"/>
          <w:u w:val="none"/>
          <w:vertAlign w:val="baseline"/>
          <w:em w:val="none"/>
          <w:lang w:val="en-US" w:bidi="ar-SA" w:eastAsia="zh-CN"/>
        </w:rPr>
        <w:t>也不排除其竞争对手操纵；</w:t>
      </w:r>
    </w:p>
    <w:p w14:paraId="BCC113DF">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eastAsia"/>
          <w:b w:val="false"/>
          <w:bCs w:val="false"/>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u w:val="none"/>
          <w:vertAlign w:val="baseline"/>
          <w:em w:val="none"/>
          <w:lang w:val="en-US" w:bidi="ar-SA" w:eastAsia="zh-CN"/>
        </w:rPr>
        <w:t>何况，"</w:t>
      </w:r>
      <w:r>
        <w:rPr>
          <w:rFonts w:ascii="宋体" w:cs="Arial" w:eastAsia="宋体" w:hAnsi="宋体" w:hint="default"/>
          <w:b w:val="false"/>
          <w:bCs w:val="false"/>
          <w:i w:val="false"/>
          <w:iCs w:val="false"/>
          <w:noProof/>
          <w:snapToGrid w:val="false"/>
          <w:color w:val="36363d"/>
          <w:kern w:val="0"/>
          <w:sz w:val="24"/>
          <w:szCs w:val="24"/>
          <w:highlight w:val="none"/>
          <w:vertAlign w:val="baseline"/>
          <w:em w:val="none"/>
          <w:lang w:val="en-US" w:bidi="ar-SA" w:eastAsia="en-US"/>
        </w:rPr>
        <w:t>诉微信支付案</w:t>
      </w:r>
      <w:r>
        <w:rPr>
          <w:rFonts w:ascii="黑体" w:cs="黑体" w:eastAsia="黑体" w:hAnsi="黑体" w:hint="default"/>
          <w:b w:val="false"/>
          <w:bCs w:val="false"/>
          <w:i w:val="false"/>
          <w:iCs w:val="false"/>
          <w:noProof/>
          <w:snapToGrid w:val="false"/>
          <w:color w:val="000000"/>
          <w:kern w:val="0"/>
          <w:sz w:val="24"/>
          <w:szCs w:val="24"/>
          <w:highlight w:val="none"/>
          <w:u w:val="none"/>
          <w:vertAlign w:val="baseline"/>
          <w:em w:val="none"/>
          <w:lang w:val="en-US" w:bidi="ar-SA" w:eastAsia="zh-CN"/>
        </w:rPr>
        <w:t>"有足够的"已提交证据和未提交的经验事实"证实，腾讯有这类记录。</w:t>
      </w:r>
    </w:p>
    <w:p w14:paraId="3C6D94AF">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黑体" w:cs="黑体" w:eastAsia="黑体" w:hAnsi="黑体" w:hint="default"/>
          <w:b w:val="false"/>
          <w:bCs w:val="false"/>
          <w:sz w:val="24"/>
          <w:szCs w:val="24"/>
          <w:u w:val="none"/>
          <w:lang w:val="en-US" w:eastAsia="zh-CN"/>
        </w:rPr>
      </w:pPr>
    </w:p>
    <w:p w14:paraId="3CFADC60">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bCs/>
          <w:sz w:val="24"/>
          <w:szCs w:val="24"/>
          <w:u w:val="none"/>
          <w:lang w:val="en-US" w:eastAsia="zh-CN"/>
        </w:rPr>
        <w:t>确认"国金认证"于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2024-04-15</w:t>
      </w:r>
      <w:r>
        <w:rPr>
          <w:rFonts w:ascii="黑体" w:cs="黑体" w:eastAsia="黑体" w:hAnsi="黑体" w:hint="default"/>
          <w:b/>
          <w:bCs/>
          <w:sz w:val="24"/>
          <w:szCs w:val="24"/>
          <w:u w:val="none"/>
          <w:lang w:val="en-US" w:eastAsia="zh-CN"/>
        </w:rPr>
        <w:t>颁发"注册号:CFNR201901440574"的"非银行支付机构支付业务设施技术认证（一级)"</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不符合现行新国家标准、违法违规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。因为:</w:t>
      </w:r>
    </w:p>
    <w:p w14:paraId="758EE91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single"/>
          <w:lang w:val="en-US" w:eastAsia="zh-CN"/>
        </w:rPr>
        <w:t>其认证"</w:t>
      </w:r>
      <w:r>
        <w:rPr>
          <w:rFonts w:ascii="黑体" w:cs="黑体" w:eastAsia="黑体" w:hAnsi="黑体" w:hint="default"/>
          <w:b/>
          <w:bCs/>
          <w:sz w:val="24"/>
          <w:szCs w:val="24"/>
          <w:u w:val="single"/>
          <w:lang w:val="en-US" w:eastAsia="zh-CN"/>
        </w:rPr>
        <w:t>过程不公正</w:t>
      </w:r>
      <w:r>
        <w:rPr>
          <w:rFonts w:ascii="黑体" w:cs="黑体" w:eastAsia="黑体" w:hAnsi="黑体" w:hint="default"/>
          <w:b w:val="false"/>
          <w:bCs w:val="false"/>
          <w:sz w:val="24"/>
          <w:szCs w:val="24"/>
          <w:u w:val="single"/>
          <w:lang w:val="en-US" w:eastAsia="zh-CN"/>
        </w:rPr>
        <w:t xml:space="preserve">": </w:t>
      </w:r>
      <w:r>
        <w:rPr>
          <w:rFonts w:ascii="黑体" w:cs="黑体" w:eastAsia="黑体" w:hAnsi="黑体" w:hint="default"/>
          <w:b/>
          <w:bCs/>
          <w:sz w:val="24"/>
          <w:szCs w:val="24"/>
          <w:u w:val="single"/>
          <w:lang w:val="en-US" w:eastAsia="zh-CN"/>
        </w:rPr>
        <w:t>依据标准</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错误</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非</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2022版"国家标准</w:t>
      </w:r>
      <w:r>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t>GB/T41460-2022)</w:t>
      </w:r>
      <w:r>
        <w:rPr>
          <w:rFonts w:ascii="黑体" w:cs="黑体" w:eastAsia="黑体" w:hAnsi="黑体" w:hint="default"/>
          <w:b w:val="false"/>
          <w:bCs w:val="false"/>
          <w:sz w:val="24"/>
          <w:szCs w:val="24"/>
          <w:u w:val="none"/>
          <w:lang w:val="en-US" w:eastAsia="zh-CN"/>
        </w:rPr>
        <w:t>。</w:t>
      </w:r>
    </w:p>
    <w:p w14:paraId="3CE87444">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黑体" w:cs="黑体" w:eastAsia="黑体" w:hAnsi="黑体" w:hint="default"/>
          <w:b/>
          <w:bCs/>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其认证"</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结果不公正</w:t>
      </w:r>
      <w:r>
        <w:rPr>
          <w:rFonts w:ascii="黑体" w:cs="黑体" w:eastAsia="黑体" w:hAnsi="黑体"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 "</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合格"的"支付业务设施"上,出现不合规终端记录(</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w:t>
      </w:r>
      <w:r>
        <w:rPr>
          <w:rFonts w:ascii="黑体" w:cs="黑体" w:eastAsia="黑体" w:hAnsi="黑体" w:hint="default"/>
          <w:b/>
          <w:bCs/>
          <w:i w:val="false"/>
          <w:iCs w:val="false"/>
          <w:noProof/>
          <w:snapToGrid w:val="false"/>
          <w:color w:val="000000"/>
          <w:kern w:val="0"/>
          <w:sz w:val="24"/>
          <w:szCs w:val="24"/>
          <w:highlight w:val="none"/>
          <w:u w:val="single" w:color="auto"/>
          <w:vertAlign w:val="baseline"/>
          <w:em w:val="none"/>
          <w:lang w:val="en-US" w:bidi="ar-SA" w:eastAsia="zh-CN"/>
        </w:rPr>
        <w:t>证据1"证实)。</w:t>
      </w:r>
    </w:p>
    <w:p w14:paraId="8E0972D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确认"人行"于</w:t>
      </w: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2025-05-16</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黑体" w:cs="黑体" w:eastAsia="黑体" w:hAnsi="黑体" w:hint="default"/>
          <w:b w:val="false"/>
          <w:bCs w:val="false"/>
          <w:sz w:val="24"/>
          <w:szCs w:val="24"/>
          <w:u w:val="none"/>
          <w:lang w:val="en-US" w:eastAsia="zh-CN"/>
        </w:rPr>
        <w:t>"支付业务许可证"，违法违规，没有依据合规有效的"</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非银行支付机构支付业务设施技术认证（一级)"。</w:t>
      </w:r>
    </w:p>
    <w:p w14:paraId="7474E589">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由人行依法自主决定</w:t>
      </w:r>
      <w:r>
        <w:rPr>
          <w:rFonts w:ascii="黑体" w:cs="黑体" w:eastAsia="黑体" w:hAnsi="黑体" w:hint="default"/>
          <w:b w:val="false"/>
          <w:bCs w:val="false"/>
          <w:sz w:val="24"/>
          <w:szCs w:val="24"/>
          <w:u w:val="none"/>
          <w:lang w:val="en-US" w:eastAsia="zh-CN"/>
        </w:rPr>
        <w:t>处理"</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编号:Z2000444000013"的"支付业务许可证"</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与"注册号:CFNR201901440574"的"非银行支付机构支付业务设施技术认证（一级)"</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w:t>
      </w:r>
    </w:p>
    <w:p w14:paraId="1CE07A8C">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黑体" w:cs="黑体" w:eastAsia="黑体" w:hAnsi="黑体" w:hint="default"/>
          <w:b w:val="false"/>
          <w:bCs w:val="false"/>
          <w:sz w:val="24"/>
          <w:szCs w:val="24"/>
          <w:u w:val="none"/>
          <w:lang w:val="en-US" w:eastAsia="zh-CN"/>
        </w:rPr>
      </w:pPr>
      <w:r>
        <w:rPr>
          <w:rFonts w:ascii="黑体" w:cs="黑体" w:eastAsia="黑体" w:hAnsi="黑体" w:hint="default"/>
          <w:b w:val="false"/>
          <w:bCs w:val="false"/>
          <w:sz w:val="24"/>
          <w:szCs w:val="24"/>
          <w:u w:val="none"/>
          <w:lang w:val="en-US" w:eastAsia="zh-CN"/>
        </w:rPr>
        <w:t>人行对造成原告的损害，支付原告赔偿金</w:t>
      </w:r>
      <w:r>
        <w:rPr>
          <w:rFonts w:ascii="宋体" w:cs="Times New Roman" w:eastAsia="宋体" w:hAnsi="Calibri" w:hint="default"/>
          <w:b/>
          <w:bCs/>
          <w:i w:val="false"/>
          <w:iCs w:val="false"/>
          <w:color w:val="auto"/>
          <w:kern w:val="2"/>
          <w:sz w:val="24"/>
          <w:szCs w:val="24"/>
          <w:highlight w:val="none"/>
          <w:vertAlign w:val="baseline"/>
          <w:em w:val="none"/>
          <w:lang w:val="en-US" w:bidi="ar-SA" w:eastAsia="zh-CN"/>
        </w:rPr>
        <w:t>20279700.00元人民币。</w:t>
      </w:r>
    </w:p>
    <w:p w14:paraId="984CCBC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Times New Roman" w:eastAsia="宋体" w:hAnsi="Times New Roman" w:hint="default"/>
          <w:sz w:val="24"/>
          <w:szCs w:val="24"/>
          <w:u w:val="none"/>
          <w:lang w:val="en-US" w:eastAsia="zh-CN"/>
        </w:rPr>
      </w:pPr>
      <w:r>
        <w:rPr>
          <w:rFonts w:ascii="宋体" w:cs="Times New Roman" w:eastAsia="宋体" w:hAnsi="Times New Roman" w:hint="default"/>
          <w:sz w:val="24"/>
          <w:szCs w:val="24"/>
          <w:u w:val="none"/>
          <w:lang w:val="en-US" w:eastAsia="zh-CN"/>
        </w:rPr>
        <w:t>由有关国家机关对人行的错误行政许可行为，提起公益行政诉讼、并公开听证。</w:t>
      </w:r>
    </w:p>
    <w:p w14:paraId="D5A1C044">
      <w:pPr>
        <w:pStyle w:val="style179"/>
        <w:keepNext w:val="false"/>
        <w:keepLines w:val="false"/>
        <w:pageBreakBefore w:val="false"/>
        <w:widowControl w:val="false"/>
        <w:numPr>
          <w:ilvl w:val="0"/>
          <w:numId w:val="32"/>
        </w:numPr>
        <w:kinsoku/>
        <w:wordWrap/>
        <w:overflowPunct/>
        <w:topLinePunct w:val="false"/>
        <w:autoSpaceDE/>
        <w:autoSpaceDN/>
        <w:bidi w:val="false"/>
        <w:adjustRightInd/>
        <w:snapToGrid/>
        <w:spacing w:lineRule="auto" w:line="240"/>
        <w:ind w:firstLineChars="0"/>
        <w:jc w:val="both"/>
        <w:textAlignment w:val="auto"/>
        <w:outlineLvl w:val="9"/>
        <w:rPr>
          <w:rFonts w:ascii="宋体" w:cs="黑体" w:eastAsia="宋体" w:hAnsi="黑体" w:hint="eastAsia"/>
          <w:b w:val="false"/>
          <w:bCs w:val="false"/>
          <w:sz w:val="24"/>
          <w:szCs w:val="24"/>
          <w:u w:val="none"/>
          <w:lang w:val="en-US" w:eastAsia="zh-CN"/>
        </w:rPr>
      </w:pPr>
      <w:r>
        <w:rPr>
          <w:rFonts w:ascii="宋体" w:cs="黑体" w:eastAsia="宋体" w:hAnsi="宋体" w:hint="default"/>
          <w:b w:val="false"/>
          <w:bCs w:val="false"/>
          <w:sz w:val="24"/>
          <w:szCs w:val="24"/>
          <w:u w:val="none"/>
          <w:lang w:val="en-US" w:eastAsia="zh-CN"/>
        </w:rPr>
        <w:t>按照国家法规依法公开本案</w:t>
      </w:r>
      <w:r>
        <w:rPr>
          <w:rFonts w:ascii="宋体" w:cs="黑体" w:hAnsi="宋体" w:hint="default"/>
          <w:b w:val="false"/>
          <w:bCs w:val="false"/>
          <w:sz w:val="24"/>
          <w:szCs w:val="24"/>
          <w:u w:val="none"/>
          <w:lang w:val="en-US" w:eastAsia="zh-CN"/>
        </w:rPr>
        <w:t>，对因违法违规颁发许可而被侵占权利或造成损失的有关人员、法人、组织，</w:t>
      </w:r>
      <w:r>
        <w:rPr>
          <w:rFonts w:ascii="宋体" w:cs="Times New Roman" w:eastAsia="宋体" w:hAnsi="Times New Roman" w:hint="default"/>
          <w:sz w:val="24"/>
          <w:szCs w:val="24"/>
          <w:u w:val="none"/>
          <w:lang w:val="en-US" w:eastAsia="zh-CN"/>
        </w:rPr>
        <w:t>给予行政补偿、赔偿</w:t>
      </w:r>
      <w:r>
        <w:rPr>
          <w:rFonts w:ascii="宋体" w:cs="仿宋_GB2312" w:eastAsia="宋体" w:hAnsi="仿宋_GB2312" w:hint="eastAsia"/>
          <w:sz w:val="24"/>
          <w:szCs w:val="24"/>
          <w:u w:val="none"/>
          <w:lang w:val="en-US" w:eastAsia="zh-CN"/>
        </w:rPr>
        <w:t>。</w:t>
      </w:r>
    </w:p>
    <w:p w14:paraId="70B960EF">
      <w:pPr>
        <w:pStyle w:val="style0"/>
        <w:adjustRightInd/>
        <w:snapToGrid/>
        <w:spacing w:lineRule="auto" w:line="240"/>
        <w:jc w:val="both"/>
        <w:outlineLvl w:val="9"/>
        <w:rPr>
          <w:rFonts w:ascii="Times New Roman" w:cs="Times New Roman" w:eastAsia="宋体" w:hAnsi="Times New Roman" w:hint="default"/>
          <w:b/>
          <w:bCs/>
          <w:i w:val="false"/>
          <w:iCs w:val="false"/>
          <w:noProof/>
          <w:snapToGrid w:val="false"/>
          <w:color w:val="000000"/>
          <w:kern w:val="0"/>
          <w:sz w:val="24"/>
          <w:szCs w:val="24"/>
          <w:highlight w:val="none"/>
          <w:u w:val="single" w:color="auto"/>
          <w:vertAlign w:val="baseline"/>
          <w:em w:val="none"/>
          <w:lang w:val="en-US" w:bidi="ar-SA" w:eastAsia="zh-CN"/>
        </w:rPr>
      </w:pPr>
    </w:p>
    <w:p w14:paraId="41C7596B">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bCs/>
          <w:i w:val="false"/>
          <w:iCs w:val="false"/>
          <w:color w:val="auto"/>
          <w:kern w:val="2"/>
          <w:sz w:val="24"/>
          <w:szCs w:val="24"/>
          <w:highlight w:val="none"/>
          <w:vertAlign w:val="baseline"/>
          <w:em w:val="none"/>
          <w:lang w:val="en-US" w:bidi="ar-SA" w:eastAsia="zh-CN"/>
        </w:rPr>
        <w:t>适用以下有关法律法条款项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w:t>
      </w:r>
    </w:p>
    <w:p w14:paraId="CCF6BAFE">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color="auto"/>
          <w:vertAlign w:val="baseline"/>
          <w:em w:val="none"/>
          <w:lang w:val="en-US" w:bidi="ar-SA" w:eastAsia="zh-CN"/>
        </w:rPr>
        <w:t>《中华人民共和国宪法》</w:t>
      </w:r>
    </w:p>
    <w:p w14:paraId="36E42074">
      <w:pPr>
        <w:pStyle w:val="style0"/>
        <w:adjustRightInd/>
        <w:snapToGrid/>
        <w:spacing w:lineRule="auto" w:line="240"/>
        <w:ind w:left="210" w:leftChars="0"/>
        <w:jc w:val="both"/>
        <w:outlineLvl w:val="9"/>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第十三条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"公民的合法的私有财产不受侵犯"。"诉微信支付案"的"微信支付"</w:t>
      </w:r>
      <w:r>
        <w:rPr>
          <w:rFonts w:ascii="宋体" w:cs="仿宋_GB2312" w:hAnsi="宋体" w:hint="default"/>
          <w:b w:val="false"/>
          <w:bCs w:val="false"/>
          <w:i w:val="false"/>
          <w:iCs w:val="false"/>
          <w:color w:val="auto"/>
          <w:kern w:val="2"/>
          <w:sz w:val="24"/>
          <w:szCs w:val="24"/>
          <w:highlight w:val="none"/>
          <w:vertAlign w:val="baseline"/>
          <w:em w:val="none"/>
          <w:lang w:val="en-US" w:bidi="ar-SA" w:eastAsia="zh-CN"/>
        </w:rPr>
        <w:t>，</w:t>
      </w:r>
    </w:p>
    <w:p w14:paraId="88BE5170">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事实侵占原告的合法私有财产长达200天以上，人行违法违规颁发支付许可证有责。</w:t>
      </w:r>
    </w:p>
    <w:p w14:paraId="81319393">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第四十一条第一、二、三款　"国家机关和国家工作人员侵犯公民权利而受到损失的人，</w:t>
      </w:r>
    </w:p>
    <w:p w14:paraId="DEC714AA">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有依照法律规定取得赔偿的权利"。</w:t>
      </w:r>
    </w:p>
    <w:p w14:paraId="265253E4">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《中华人民共和国中国人民银行法（修正）》</w:t>
      </w:r>
    </w:p>
    <w:p w14:paraId="346E286C">
      <w:pPr>
        <w:pStyle w:val="style0"/>
        <w:adjustRightInd/>
        <w:snapToGrid/>
        <w:spacing w:lineRule="auto" w:line="240"/>
        <w:ind w:left="21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第四条第一款第九项</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人行违法颁发支付许可证怎么"维护支付、清算系统的正常运行"；</w:t>
      </w:r>
    </w:p>
    <w:p w14:paraId="25769B96">
      <w:pPr>
        <w:pStyle w:val="style0"/>
        <w:adjustRightInd/>
        <w:snapToGrid/>
        <w:spacing w:lineRule="auto" w:line="240"/>
        <w:ind w:left="630" w:leftChars="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"微信支付"、"支付宝"作为全国最大两家，都是系统重要性级别的非银行支付机构。</w:t>
      </w:r>
    </w:p>
    <w:p w14:paraId="553613FF">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《中华人民共和国行政许可法》</w:t>
      </w:r>
    </w:p>
    <w:p w14:paraId="BFE04BFB">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第七条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"公民、法人或者其他组织对行政机关实施行政许可，享有陈述权、申辩权;</w:t>
      </w:r>
    </w:p>
    <w:p w14:paraId="7B52E0DC">
      <w:pPr>
        <w:pStyle w:val="style0"/>
        <w:adjustRightInd/>
        <w:snapToGrid/>
        <w:spacing w:lineRule="auto" w:line="240"/>
        <w:ind w:left="1050" w:leftChars="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有权依法申请行政复议或者提起行政诉讼；其合法权益因行政机关违法实施行政许可受到损害的，有权依法要求赔偿"。</w:t>
      </w:r>
    </w:p>
    <w:p w14:paraId="7C8AC95A">
      <w:pPr>
        <w:pStyle w:val="style0"/>
        <w:adjustRightInd/>
        <w:snapToGrid/>
        <w:spacing w:lineRule="auto" w:line="240"/>
        <w:jc w:val="both"/>
        <w:outlineLvl w:val="9"/>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第八条第二款</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r>
        <w:rPr>
          <w:rFonts w:ascii="黑体" w:cs="黑体" w:eastAsia="黑体" w:hAnsi="黑体" w:hint="default"/>
          <w:b w:val="false"/>
          <w:bCs w:val="false"/>
          <w:i w:val="false"/>
          <w:iCs w:val="false"/>
          <w:color w:val="auto"/>
          <w:kern w:val="2"/>
          <w:sz w:val="24"/>
          <w:szCs w:val="24"/>
          <w:highlight w:val="none"/>
          <w:u w:val="none"/>
          <w:vertAlign w:val="baseline"/>
          <w:em w:val="none"/>
          <w:lang w:val="en-US" w:bidi="ar-SA" w:eastAsia="zh-CN"/>
        </w:rPr>
        <w:t>"</w:t>
      </w:r>
      <w:r>
        <w:rPr>
          <w:rFonts w:ascii="黑体" w:cs="黑体" w:eastAsia="黑体" w:hAnsi="黑体" w:hint="default"/>
          <w:b w:val="false"/>
          <w:bCs w:val="false"/>
          <w:i w:val="false"/>
          <w:iCs w:val="false"/>
          <w:color w:val="36363d"/>
          <w:kern w:val="2"/>
          <w:sz w:val="24"/>
          <w:szCs w:val="24"/>
          <w:highlight w:val="none"/>
          <w:u w:val="none" w:color="auto"/>
          <w:vertAlign w:val="baseline"/>
          <w:em w:val="none"/>
          <w:lang w:val="en-US" w:bidi="ar-SA" w:eastAsia="zh-CN"/>
        </w:rPr>
        <w:t>给公民、法人或者其他组织造成财产损失的，应当依法给予补偿"</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w:t>
      </w:r>
    </w:p>
    <w:p w14:paraId="4174307D">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pP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xml:space="preserve">  </w:t>
      </w:r>
      <w:r>
        <w:rPr>
          <w:rFonts w:ascii="黑体" w:cs="黑体" w:eastAsia="黑体" w:hAnsi="黑体" w:hint="default"/>
          <w:b w:val="false"/>
          <w:bCs w:val="false"/>
          <w:i w:val="false"/>
          <w:iCs w:val="false"/>
          <w:color w:val="auto"/>
          <w:kern w:val="2"/>
          <w:sz w:val="24"/>
          <w:szCs w:val="24"/>
          <w:highlight w:val="none"/>
          <w:u w:val="single"/>
          <w:vertAlign w:val="baseline"/>
          <w:em w:val="none"/>
          <w:lang w:val="en-US" w:bidi="ar-SA" w:eastAsia="zh-CN"/>
        </w:rPr>
        <w:t>第四十九条</w:t>
      </w:r>
      <w:r>
        <w:rPr>
          <w:rFonts w:ascii="黑体" w:cs="黑体" w:eastAsia="黑体" w:hAnsi="黑体" w:hint="default"/>
          <w:b w:val="false"/>
          <w:bCs w:val="false"/>
          <w:i w:val="false"/>
          <w:iCs w:val="false"/>
          <w:color w:val="auto"/>
          <w:kern w:val="2"/>
          <w:sz w:val="24"/>
          <w:szCs w:val="24"/>
          <w:highlight w:val="none"/>
          <w:vertAlign w:val="baseline"/>
          <w:em w:val="none"/>
          <w:lang w:val="en-US" w:bidi="ar-SA" w:eastAsia="zh-CN"/>
        </w:rPr>
        <w:t>　被许可人"不符合法定条件、标准的要求"，被告不应续颁行政许可。</w:t>
      </w:r>
    </w:p>
    <w:p w14:paraId="D516AC20">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u w:val="none"/>
          <w:vertAlign w:val="baseline"/>
          <w:em w:val="none"/>
          <w:lang w:val="en-US" w:bidi="ar-SA" w:eastAsia="zh-CN"/>
        </w:rPr>
        <w:t>国务院令第768号《非银行支付机构监督管理条例》</w:t>
      </w:r>
    </w:p>
    <w:p w14:paraId="CB3E1108">
      <w:pPr>
        <w:pStyle w:val="style0"/>
        <w:adjustRightInd/>
        <w:snapToGrid/>
        <w:spacing w:lineRule="auto" w:line="240"/>
        <w:jc w:val="both"/>
        <w:outlineLvl w:val="9"/>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被告对"非银行支付机构",要加强主体监督管理责任, 更新认证及许可证的标准。</w:t>
      </w:r>
    </w:p>
    <w:p w14:paraId="1C85DA5D">
      <w:pPr>
        <w:pStyle w:val="style0"/>
        <w:adjustRightInd/>
        <w:snapToGrid/>
        <w:spacing w:lineRule="auto" w:line="240"/>
        <w:jc w:val="both"/>
        <w:outlineLvl w:val="9"/>
        <w:rPr/>
      </w:pP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xml:space="preserve">  </w:t>
      </w:r>
      <w:r>
        <w:rPr>
          <w:rFonts w:ascii="Calibri"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第三十八条</w:t>
      </w:r>
      <w:r>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t>: "分类监督管理、定系统重要性非银行支付机构认定标准和监督管理规则"。</w:t>
      </w:r>
    </w:p>
    <w:p w14:paraId="F8167EA9">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single"/>
          <w:lang w:val="en-US" w:eastAsia="zh-CN"/>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xml:space="preserve">  </w:t>
      </w:r>
      <w:r>
        <w:rPr>
          <w:rFonts w:ascii="宋体" w:cs="仿宋_GB2312" w:eastAsia="宋体" w:hAnsi="宋体" w:hint="default"/>
          <w:b w:val="false"/>
          <w:bCs w:val="false"/>
          <w:i w:val="false"/>
          <w:iCs w:val="false"/>
          <w:color w:val="auto"/>
          <w:kern w:val="2"/>
          <w:sz w:val="24"/>
          <w:szCs w:val="24"/>
          <w:highlight w:val="none"/>
          <w:u w:val="single"/>
          <w:vertAlign w:val="baseline"/>
          <w:em w:val="none"/>
          <w:lang w:val="en-US" w:bidi="ar-SA" w:eastAsia="zh-CN"/>
        </w:rPr>
        <w:t>第四十六条</w:t>
      </w: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 人行应当化解非银行支付风险。</w:t>
      </w:r>
    </w:p>
    <w:p w14:paraId="0A95E80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default"/>
          <w:b w:val="false"/>
          <w:bCs w:val="false"/>
          <w:sz w:val="24"/>
          <w:szCs w:val="24"/>
          <w:u w:val="none"/>
          <w:lang w:val="en-US" w:eastAsia="zh-CN"/>
        </w:rPr>
      </w:pPr>
      <w:r>
        <w:rPr>
          <w:rFonts w:ascii="宋体" w:cs="黑体" w:eastAsia="宋体" w:hAnsi="黑体" w:hint="default"/>
          <w:b w:val="false"/>
          <w:bCs w:val="false"/>
          <w:sz w:val="24"/>
          <w:szCs w:val="24"/>
          <w:u w:val="none"/>
          <w:lang w:val="en-US" w:eastAsia="zh-CN"/>
        </w:rPr>
        <w:t>人行《非银行支付机构网络支付业务管理办法》</w:t>
      </w:r>
    </w:p>
    <w:p w14:paraId="40E31AC9">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210" w:leftChars="0"/>
        <w:jc w:val="both"/>
        <w:textAlignment w:val="auto"/>
        <w:outlineLvl w:val="9"/>
        <w:rPr>
          <w:rFonts w:ascii="宋体" w:cs="黑体" w:eastAsia="宋体" w:hAnsi="黑体" w:hint="eastAsia"/>
          <w:b w:val="false"/>
          <w:bCs w:val="false"/>
          <w:sz w:val="24"/>
          <w:szCs w:val="24"/>
          <w:u w:val="none"/>
          <w:lang w:val="en-US" w:eastAsia="zh-CN"/>
        </w:rPr>
      </w:pPr>
      <w:r>
        <w:rPr>
          <w:rFonts w:ascii="宋体" w:cs="黑体" w:eastAsia="宋体" w:hAnsi="黑体" w:hint="default"/>
          <w:b w:val="false"/>
          <w:bCs w:val="false"/>
          <w:sz w:val="24"/>
          <w:szCs w:val="24"/>
          <w:u w:val="single"/>
          <w:lang w:val="en-US" w:eastAsia="zh-CN"/>
        </w:rPr>
        <w:t xml:space="preserve">第三十二条 </w:t>
      </w:r>
      <w:r>
        <w:rPr>
          <w:rFonts w:ascii="宋体" w:cs="黑体" w:eastAsia="宋体" w:hAnsi="黑体" w:hint="default"/>
          <w:b w:val="false"/>
          <w:bCs w:val="false"/>
          <w:sz w:val="24"/>
          <w:szCs w:val="24"/>
          <w:u w:val="none"/>
          <w:lang w:val="en-US" w:eastAsia="zh-CN"/>
        </w:rPr>
        <w:t>"中国人民银行确立支付机构分类监管指标体系，建立持续分类评价工作机制，并对支付机构实施动态分类管理。具体办法由中国人民银行另行制定"。</w:t>
      </w:r>
    </w:p>
    <w:p w14:paraId="9ED02835">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黑体" w:eastAsia="宋体" w:hAnsi="黑体" w:hint="eastAsia"/>
          <w:b/>
          <w:bCs/>
          <w:sz w:val="24"/>
          <w:szCs w:val="24"/>
          <w:u w:val="none"/>
          <w:lang w:val="en-US" w:eastAsia="zh-CN"/>
        </w:rPr>
      </w:pPr>
    </w:p>
    <w:p w14:paraId="913503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宋体" w:cs="仿宋_GB2312" w:eastAsia="宋体" w:hAnsi="宋体" w:hint="default"/>
          <w:sz w:val="24"/>
          <w:szCs w:val="24"/>
          <w:u w:val="none"/>
          <w:lang w:val="en-US" w:eastAsia="zh-CN"/>
        </w:rPr>
      </w:pPr>
      <w:r>
        <w:rPr>
          <w:rFonts w:ascii="宋体" w:cs="黑体" w:eastAsia="宋体" w:hAnsi="黑体" w:hint="eastAsia"/>
          <w:b/>
          <w:bCs/>
          <w:sz w:val="24"/>
          <w:szCs w:val="24"/>
          <w:u w:val="none"/>
          <w:lang w:val="en-US" w:eastAsia="zh-CN"/>
        </w:rPr>
        <w:t>事实和理由</w:t>
      </w:r>
      <w:r>
        <w:rPr>
          <w:rFonts w:ascii="黑体" w:cs="黑体" w:eastAsia="黑体" w:hAnsi="黑体" w:hint="eastAsia"/>
          <w:b w:val="false"/>
          <w:bCs w:val="false"/>
          <w:sz w:val="24"/>
          <w:szCs w:val="24"/>
          <w:u w:val="none"/>
          <w:lang w:val="en-US" w:eastAsia="zh-CN"/>
        </w:rPr>
        <w:t>：</w:t>
      </w:r>
    </w:p>
    <w:p w14:paraId="AF6D6D37">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eastAsia="宋体" w:hAnsi="宋体" w:hint="default"/>
          <w:b w:val="false"/>
          <w:bCs w:val="false"/>
          <w:sz w:val="24"/>
          <w:szCs w:val="24"/>
          <w:u w:val="single"/>
          <w:lang w:val="en-US" w:eastAsia="zh-CN"/>
        </w:rPr>
        <w:t>中国人民银行的"非银行支付机构支付业务设施技术要求"三年前已经升级"国家标准"</w:t>
      </w:r>
      <w:r>
        <w:rPr>
          <w:rFonts w:ascii="宋体" w:cs="仿宋_GB2312" w:eastAsia="宋体" w:hAnsi="宋体" w:hint="default"/>
          <w:sz w:val="24"/>
          <w:szCs w:val="24"/>
          <w:u w:val="none"/>
          <w:lang w:val="en-US" w:eastAsia="zh-CN"/>
        </w:rPr>
        <w:t>:</w:t>
      </w:r>
    </w:p>
    <w:p w14:paraId="050016C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宋体" w:cs="仿宋_GB2312" w:eastAsia="宋体" w:hAnsi="宋体" w:hint="default"/>
          <w:sz w:val="24"/>
          <w:szCs w:val="24"/>
          <w:u w:val="none"/>
          <w:lang w:val="en-US" w:eastAsia="zh-CN"/>
        </w:rPr>
      </w:pPr>
      <w:r>
        <w:rPr>
          <w:rFonts w:ascii="宋体" w:cs="仿宋_GB2312" w:hAnsi="宋体" w:hint="default"/>
          <w:b/>
          <w:bCs/>
          <w:i w:val="false"/>
          <w:iCs w:val="false"/>
          <w:noProof/>
          <w:snapToGrid w:val="false"/>
          <w:color w:val="000000"/>
          <w:kern w:val="0"/>
          <w:sz w:val="24"/>
          <w:szCs w:val="24"/>
          <w:highlight w:val="none"/>
          <w:u w:val="single" w:color="auto"/>
          <w:vertAlign w:val="baseline"/>
          <w:em w:val="none"/>
          <w:lang w:val="en-US" w:bidi="ar-SA" w:eastAsia="zh-CN"/>
        </w:rPr>
        <w:t>如果</w:t>
      </w:r>
      <w:r>
        <w:rPr>
          <w:rFonts w:ascii="宋体" w:cs="仿宋_GB2312" w:eastAsia="宋体" w:hAnsi="宋体" w:hint="default"/>
          <w:b/>
          <w:bCs/>
          <w:i w:val="false"/>
          <w:iCs w:val="false"/>
          <w:noProof/>
          <w:snapToGrid w:val="false"/>
          <w:color w:val="000000"/>
          <w:kern w:val="0"/>
          <w:sz w:val="24"/>
          <w:szCs w:val="24"/>
          <w:highlight w:val="none"/>
          <w:u w:val="single" w:color="auto"/>
          <w:vertAlign w:val="baseline"/>
          <w:em w:val="none"/>
          <w:lang w:val="en-US" w:bidi="ar-SA" w:eastAsia="zh-CN"/>
        </w:rPr>
        <w:t>适用"旧2018行业标准"有关条款的, 那么</w:t>
      </w:r>
      <w:r>
        <w:rPr>
          <w:rFonts w:ascii="宋体" w:cs="仿宋_GB2312" w:eastAsia="宋体" w:hAnsi="宋体" w:hint="default"/>
          <w:b/>
          <w:bCs/>
          <w:sz w:val="24"/>
          <w:szCs w:val="24"/>
          <w:u w:val="single"/>
          <w:lang w:val="en-US" w:eastAsia="zh-CN"/>
        </w:rPr>
        <w:t>应换"新2022国家标准"的对等条目</w:t>
      </w:r>
      <w:r>
        <w:rPr>
          <w:rFonts w:ascii="宋体" w:cs="仿宋_GB2312" w:eastAsia="宋体" w:hAnsi="宋体" w:hint="default"/>
          <w:sz w:val="24"/>
          <w:szCs w:val="24"/>
          <w:u w:val="none"/>
          <w:lang w:val="en-US" w:eastAsia="zh-CN"/>
        </w:rPr>
        <w:t>。</w:t>
      </w:r>
    </w:p>
    <w:p w14:paraId="5E1E6823">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2018版"行业标准"JR/T 0122-2018, 摘要其"7.1.6.1单笔退款"</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23F62F4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"应实现对已发生的单笔交易进行退款申请、确认、审核、退款等功能。</w:t>
      </w:r>
    </w:p>
    <w:p w14:paraId="48BE615A">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 xml:space="preserve"> 支付服务方应将部分或全部已扣款项退还至客户的原扣款账户。"</w:t>
      </w:r>
    </w:p>
    <w:p w14:paraId="D7D9FE6B">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2022版"国家标准"GB/T41460-2022, 摘要其"5.2.7.1 单笔退款":</w:t>
      </w:r>
    </w:p>
    <w:p w14:paraId="C9CAF399">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firstLine="0" w:firstLineChars="0"/>
        <w:jc w:val="both"/>
        <w:textAlignment w:val="auto"/>
        <w:outlineLvl w:val="9"/>
        <w:rPr>
          <w:rFonts w:ascii="Calibri" w:cs="Times New Roman" w:eastAsia="宋体" w:hAnsi="Calibri" w:hint="default"/>
          <w:b w:val="false"/>
          <w:bCs w:val="false"/>
          <w:i w:val="false"/>
          <w:iCs w:val="false"/>
          <w:color w:val="auto"/>
          <w:kern w:val="2"/>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"应实现单笔交易退款的功能。支付服务方应将部分或全部已扣款项退还至个人或企业客户的原扣款账户，</w:t>
      </w:r>
      <w:r>
        <w:rPr>
          <w:rFonts w:ascii="Times New Roman" w:cs="Times New Roman" w:eastAsia="宋体" w:hAnsi="Times New Roman" w:hint="default"/>
          <w:b/>
          <w:bCs/>
          <w:i w:val="false"/>
          <w:iCs w:val="false"/>
          <w:noProof/>
          <w:snapToGrid w:val="false"/>
          <w:color w:val="000000"/>
          <w:kern w:val="0"/>
          <w:sz w:val="24"/>
          <w:szCs w:val="24"/>
          <w:highlight w:val="none"/>
          <w:u w:val="single"/>
          <w:vertAlign w:val="baseline"/>
          <w:em w:val="none"/>
          <w:lang w:val="en-US" w:bidi="ar-SA" w:eastAsia="zh-CN"/>
        </w:rPr>
        <w:t>原扣款账户不能接收退款的，退款至付款方其他账户</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none"/>
          <w:vertAlign w:val="baseline"/>
          <w:em w:val="none"/>
          <w:lang w:val="en-US" w:bidi="ar-SA" w:eastAsia="zh-CN"/>
        </w:rPr>
        <w:t>。"</w:t>
      </w:r>
    </w:p>
    <w:p w14:paraId="A783499C">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"证据1"证实, 终端"微信支付"对"已注销收款账户"的"单笔退款"错误行为是:</w:t>
      </w:r>
    </w:p>
    <w:p w14:paraId="A35FC637">
      <w:pPr>
        <w:pStyle w:val="style179"/>
        <w:numPr>
          <w:ilvl w:val="0"/>
          <w:numId w:val="53"/>
        </w:numPr>
        <w:adjustRightInd/>
        <w:snapToGrid/>
        <w:spacing w:lineRule="auto" w:line="240"/>
        <w:ind w:firstLineChars="0"/>
        <w:jc w:val="both"/>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对"已注销收款账户"不会立即失败, 而是长达200天以上都是"退款中"状态</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E2594B02">
      <w:pPr>
        <w:pStyle w:val="style179"/>
        <w:numPr>
          <w:ilvl w:val="0"/>
          <w:numId w:val="0"/>
        </w:numPr>
        <w:adjustRightInd/>
        <w:snapToGrid/>
        <w:spacing w:lineRule="auto" w:line="240"/>
        <w:ind w:left="840" w:firstLine="0" w:firstLineChars="0"/>
        <w:jc w:val="both"/>
        <w:outlineLvl w:val="9"/>
        <w:rPr>
          <w:b w:val="false"/>
          <w:bCs w:val="false"/>
          <w:sz w:val="24"/>
          <w:szCs w:val="24"/>
          <w:u w:val="single"/>
        </w:rPr>
      </w:pPr>
      <w:r>
        <w:rPr>
          <w:rFonts w:ascii="宋体" w:cs="仿宋_GB2312" w:eastAsia="宋体" w:hAnsi="宋体" w:hint="default"/>
          <w:b w:val="false"/>
          <w:bCs w:val="false"/>
          <w:i w:val="false"/>
          <w:iCs w:val="false"/>
          <w:color w:val="auto"/>
          <w:kern w:val="2"/>
          <w:sz w:val="24"/>
          <w:szCs w:val="24"/>
          <w:highlight w:val="none"/>
          <w:vertAlign w:val="baseline"/>
          <w:em w:val="none"/>
          <w:lang w:val="en-US" w:bidi="ar-SA" w:eastAsia="zh-CN"/>
        </w:rPr>
        <w:t>违反国务院令第768号《非银行支付机构监督管理条例》的第十八条。</w:t>
      </w:r>
    </w:p>
    <w:p w14:paraId="0B07A99C">
      <w:pPr>
        <w:pStyle w:val="style179"/>
        <w:numPr>
          <w:ilvl w:val="0"/>
          <w:numId w:val="53"/>
        </w:numPr>
        <w:adjustRightInd/>
        <w:snapToGrid/>
        <w:spacing w:lineRule="auto" w:line="240"/>
        <w:ind w:firstLine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只</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color="auto"/>
          <w:vertAlign w:val="baseline"/>
          <w:em w:val="none"/>
          <w:lang w:val="en-US" w:bidi="ar-SA" w:eastAsia="zh-CN"/>
        </w:rPr>
        <w:t>在立案后, 微信支付才</w:t>
      </w:r>
      <w:r>
        <w:rPr>
          <w:rFonts w:ascii="Times New Roman" w:cs="Times New Roman" w:eastAsia="宋体" w:hAnsi="Times New Roman" w:hint="default"/>
          <w:b w:val="false"/>
          <w:bCs w:val="false"/>
          <w:i w:val="false"/>
          <w:iCs w:val="false"/>
          <w:noProof/>
          <w:snapToGrid w:val="false"/>
          <w:color w:val="000000"/>
          <w:kern w:val="0"/>
          <w:sz w:val="24"/>
          <w:szCs w:val="24"/>
          <w:highlight w:val="none"/>
          <w:u w:val="single"/>
          <w:vertAlign w:val="baseline"/>
          <w:em w:val="none"/>
          <w:lang w:val="en-US" w:bidi="ar-SA" w:eastAsia="zh-CN"/>
        </w:rPr>
        <w:t>未经原告许可单方面仅付款"50.26元"至原告微信"零钱"</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w:t>
      </w:r>
    </w:p>
    <w:p w14:paraId="B5630FDD">
      <w:pPr>
        <w:pStyle w:val="style0"/>
        <w:adjustRightInd/>
        <w:snapToGrid/>
        <w:spacing w:lineRule="auto" w:line="240"/>
        <w:ind w:left="840" w:leftChars="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违反《非银行支付机构网络支付业务管理办法》第二十九条。</w:t>
      </w:r>
    </w:p>
    <w:p w14:paraId="CDA5A51E">
      <w:pPr>
        <w:pStyle w:val="style0"/>
        <w:adjustRightInd/>
        <w:snapToGrid/>
        <w:spacing w:lineRule="auto" w:line="240"/>
        <w:ind w:left="420" w:leftChars="0" w:firstLineChars="200"/>
        <w:jc w:val="both"/>
        <w:outlineLvl w:val="9"/>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按照"GB/T41460-2022"的"5.2.7.1 单笔退款"应退款至付款方(淘宝)其他账户。</w:t>
      </w:r>
    </w:p>
    <w:p w14:paraId="A963C13B">
      <w:pPr>
        <w:pStyle w:val="style179"/>
        <w:numPr>
          <w:ilvl w:val="0"/>
          <w:numId w:val="30"/>
        </w:numPr>
        <w:adjustRightInd/>
        <w:snapToGrid/>
        <w:spacing w:lineRule="auto" w:line="240"/>
        <w:ind w:firstLineChars="0"/>
        <w:jc w:val="both"/>
        <w:outlineLvl w:val="9"/>
        <w:rPr>
          <w:rFonts w:ascii="宋体" w:cs="Times New Roman" w:eastAsia="宋体" w:hAnsi="Calibri" w:hint="default"/>
          <w:b w:val="false"/>
          <w:bCs w:val="false"/>
          <w:i w:val="false"/>
          <w:iCs w:val="false"/>
          <w:noProof/>
          <w:snapToGrid w:val="false"/>
          <w:color w:val="auto"/>
          <w:kern w:val="2"/>
          <w:sz w:val="24"/>
          <w:szCs w:val="24"/>
          <w:highlight w:val="none"/>
          <w:vertAlign w:val="baseline"/>
          <w:em w:val="none"/>
          <w:lang w:val="en-US" w:bidi="ar-SA" w:eastAsia="zh-CN"/>
        </w:rPr>
      </w:pPr>
      <w:r>
        <w:rPr>
          <w:rFonts w:ascii="黑体" w:cs="黑体" w:eastAsia="黑体" w:hAnsi="黑体" w:hint="default"/>
          <w:b/>
          <w:bCs/>
          <w:i w:val="false"/>
          <w:iCs w:val="false"/>
          <w:noProof/>
          <w:snapToGrid w:val="false"/>
          <w:color w:val="000000"/>
          <w:kern w:val="0"/>
          <w:sz w:val="24"/>
          <w:szCs w:val="24"/>
          <w:highlight w:val="none"/>
          <w:vertAlign w:val="baseline"/>
          <w:em w:val="none"/>
          <w:lang w:val="en-US" w:bidi="ar-SA" w:eastAsia="zh-CN"/>
        </w:rPr>
        <w:t>国金认证于新国标发布快三年的2024年4月15日</w:t>
      </w:r>
      <w:r>
        <w:rPr>
          <w:rFonts w:ascii="黑体" w:cs="黑体" w:eastAsia="黑体" w:hAnsi="黑体" w:hint="default"/>
          <w:b w:val="false"/>
          <w:bCs w:val="false"/>
          <w:i w:val="false"/>
          <w:iCs w:val="false"/>
          <w:noProof/>
          <w:snapToGrid w:val="false"/>
          <w:color w:val="000000"/>
          <w:kern w:val="0"/>
          <w:sz w:val="24"/>
          <w:szCs w:val="24"/>
          <w:highlight w:val="none"/>
          <w:vertAlign w:val="baseline"/>
          <w:em w:val="none"/>
          <w:lang w:val="en-US" w:bidi="ar-SA" w:eastAsia="zh-CN"/>
        </w:rPr>
        <w:t>颁发"注册号:CFNR201901440574"的"非银行支付机构支付业务设施技术认证（一级)"给"微信支付"。</w:t>
      </w:r>
    </w:p>
    <w:p w14:paraId="65D9FEA0">
      <w:pPr>
        <w:pStyle w:val="style179"/>
        <w:numPr>
          <w:ilvl w:val="0"/>
          <w:numId w:val="30"/>
        </w:numPr>
        <w:adjustRightInd/>
        <w:snapToGrid/>
        <w:spacing w:lineRule="auto" w:line="240"/>
        <w:ind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人行于</w:t>
      </w:r>
      <w:r>
        <w:rPr>
          <w:rFonts w:ascii="宋体" w:cs="仿宋_GB2312" w:eastAsia="宋体" w:hAnsi="宋体" w:hint="default"/>
          <w:b/>
          <w:bCs/>
          <w:i w:val="false"/>
          <w:iCs w:val="false"/>
          <w:noProof/>
          <w:snapToGrid w:val="false"/>
          <w:color w:val="000000"/>
          <w:kern w:val="0"/>
          <w:sz w:val="24"/>
          <w:szCs w:val="24"/>
          <w:highlight w:val="none"/>
          <w:vertAlign w:val="baseline"/>
          <w:em w:val="none"/>
          <w:lang w:val="en-US" w:bidi="ar-SA" w:eastAsia="zh-CN"/>
        </w:rPr>
        <w:t>2025-05-16</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颁发"编号Z2000444000013"的</w:t>
      </w:r>
      <w:r>
        <w:rPr>
          <w:rFonts w:ascii="宋体" w:cs="仿宋_GB2312" w:eastAsia="宋体"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"支付业务许可证"给"微信支付"</w:t>
      </w:r>
      <w:r>
        <w:rPr>
          <w:rFonts w:ascii="宋体" w:cs="仿宋_GB2312" w:hAnsi="宋体" w:hint="default"/>
          <w:b w:val="false"/>
          <w:bCs w:val="false"/>
          <w:i w:val="false"/>
          <w:iCs w:val="false"/>
          <w:noProof/>
          <w:snapToGrid w:val="false"/>
          <w:color w:val="auto"/>
          <w:kern w:val="2"/>
          <w:sz w:val="24"/>
          <w:szCs w:val="24"/>
          <w:highlight w:val="none"/>
          <w:u w:val="none" w:color="auto"/>
          <w:vertAlign w:val="baseline"/>
          <w:em w:val="none"/>
          <w:lang w:val="en-US" w:bidi="ar-SA" w:eastAsia="zh-CN"/>
        </w:rPr>
        <w:t>，</w:t>
      </w:r>
    </w:p>
    <w:p w14:paraId="21CE740C">
      <w:pPr>
        <w:pStyle w:val="style0"/>
        <w:adjustRightInd/>
        <w:snapToGrid/>
        <w:spacing w:lineRule="auto" w:line="240"/>
        <w:ind w:left="420" w:firstLine="0" w:firstLineChars="0"/>
        <w:jc w:val="both"/>
        <w:outlineLvl w:val="9"/>
        <w:rPr>
          <w:rFonts w:ascii="宋体" w:eastAsia="宋体"/>
          <w:sz w:val="24"/>
          <w:szCs w:val="24"/>
        </w:rPr>
      </w:pPr>
      <w:r>
        <w:rPr>
          <w:rFonts w:ascii="宋体" w:cs="仿宋_GB2312" w:eastAsia="宋体" w:hAnsi="宋体" w:hint="default"/>
          <w:b w:val="false"/>
          <w:bCs w:val="false"/>
          <w:i w:val="false"/>
          <w:iCs w:val="false"/>
          <w:noProof/>
          <w:snapToGrid w:val="false"/>
          <w:color w:val="auto"/>
          <w:kern w:val="2"/>
          <w:sz w:val="24"/>
          <w:szCs w:val="24"/>
          <w:highlight w:val="none"/>
          <w:vertAlign w:val="baseline"/>
          <w:em w:val="none"/>
          <w:lang w:val="en-US" w:bidi="ar-SA" w:eastAsia="zh-CN"/>
        </w:rPr>
        <w:t xml:space="preserve">有效期至2026-05-02, </w:t>
      </w:r>
      <w:r>
        <w:rPr>
          <w:rFonts w:ascii="宋体" w:cs="仿宋_GB2312" w:eastAsia="宋体" w:hAnsi="宋体" w:hint="default"/>
          <w:b w:val="false"/>
          <w:bCs w:val="false"/>
          <w:i w:val="false"/>
          <w:iCs w:val="false"/>
          <w:noProof/>
          <w:snapToGrid w:val="false"/>
          <w:color w:val="000000"/>
          <w:kern w:val="0"/>
          <w:sz w:val="24"/>
          <w:szCs w:val="24"/>
          <w:highlight w:val="none"/>
          <w:vertAlign w:val="baseline"/>
          <w:em w:val="none"/>
          <w:lang w:val="en-US" w:bidi="ar-SA" w:eastAsia="zh-CN"/>
        </w:rPr>
        <w:t>覆盖范围:全国, "类型:储值账户运营I类、支付交易处理I类"。</w:t>
      </w:r>
    </w:p>
    <w:p w14:paraId="8A8A9004">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sz w:val="24"/>
          <w:szCs w:val="24"/>
          <w:lang w:val="en-US"/>
        </w:rPr>
      </w:pPr>
      <w:r>
        <w:rPr>
          <w:rFonts w:ascii="宋体" w:eastAsia="宋体"/>
          <w:sz w:val="24"/>
          <w:szCs w:val="24"/>
          <w:lang w:val="en-US"/>
        </w:rPr>
        <w:t xml:space="preserve">起诉期+审理期用时估计: </w:t>
      </w:r>
      <w:r>
        <w:rPr>
          <w:rFonts w:ascii="宋体" w:eastAsia="宋体"/>
          <w:b/>
          <w:bCs/>
          <w:sz w:val="24"/>
          <w:szCs w:val="24"/>
          <w:lang w:val="en-US"/>
        </w:rPr>
        <w:t>111天</w:t>
      </w:r>
      <w:r>
        <w:rPr>
          <w:rFonts w:ascii="宋体" w:eastAsia="宋体"/>
          <w:sz w:val="24"/>
          <w:szCs w:val="24"/>
          <w:lang w:val="en-US"/>
        </w:rPr>
        <w:t>(比照"诉微信支付案"(2025)粤0391民初8980号的)。</w:t>
      </w:r>
    </w:p>
    <w:p w14:paraId="7C5F834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比照"微信支付", 2025-06-22计起, 至今9月3日已用</w:t>
      </w: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71天</w:t>
      </w:r>
      <w:r>
        <w:rPr>
          <w:rFonts w:ascii="宋体" w:eastAsia="宋体"/>
          <w:sz w:val="24"/>
          <w:szCs w:val="24"/>
          <w:lang w:val="en-US"/>
        </w:rPr>
        <w:t>。</w:t>
      </w:r>
    </w:p>
    <w:p w14:paraId="815850E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审理期用时40天(全国首家互联网法院"杭州互联网法院"统计网审案大概用40天)。</w:t>
      </w:r>
    </w:p>
    <w:p w14:paraId="235686DA">
      <w:pPr>
        <w:pStyle w:val="style179"/>
        <w:keepNext w:val="false"/>
        <w:keepLines w:val="false"/>
        <w:pageBreakBefore w:val="false"/>
        <w:widowControl w:val="false"/>
        <w:numPr>
          <w:ilvl w:val="0"/>
          <w:numId w:val="30"/>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b w:val="false"/>
          <w:bCs w:val="false"/>
          <w:sz w:val="24"/>
          <w:szCs w:val="24"/>
          <w:lang w:val="en-US"/>
        </w:rPr>
      </w:pPr>
      <w:r>
        <w:rPr>
          <w:rFonts w:ascii="宋体" w:eastAsia="宋体"/>
          <w:b w:val="false"/>
          <w:bCs w:val="false"/>
          <w:sz w:val="24"/>
          <w:szCs w:val="24"/>
          <w:lang w:val="en-US"/>
        </w:rPr>
        <w:t>赔偿损失的参照模型:</w:t>
      </w:r>
    </w:p>
    <w:p w14:paraId="EB55D38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原告系统性地为中央及国家避免风险, 规范制度流程, 激活组织, 保障社会经济秩序。</w:t>
      </w:r>
    </w:p>
    <w:p w14:paraId="CCA02AA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pP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对赔偿总额</w:t>
      </w:r>
      <w:r>
        <w:rPr>
          <w:rFonts w:ascii="宋体" w:cs="Times New Roman" w:hAnsi="Calibri" w:hint="default"/>
          <w:b w:val="false"/>
          <w:bCs w:val="false"/>
          <w:i w:val="false"/>
          <w:iCs w:val="false"/>
          <w:color w:val="auto"/>
          <w:kern w:val="2"/>
          <w:sz w:val="24"/>
          <w:szCs w:val="24"/>
          <w:highlight w:val="none"/>
          <w:u w:val="single"/>
          <w:vertAlign w:val="baseline"/>
          <w:em w:val="none"/>
          <w:lang w:val="en-US" w:bidi="ar-SA" w:eastAsia="zh-CN"/>
        </w:rPr>
        <w:t>，</w:t>
      </w: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放大系数值可合理的设置成: 20.0(奖功</w:t>
      </w:r>
      <w:r>
        <w:rPr>
          <w:rFonts w:ascii="宋体" w:cs="Times New Roman" w:eastAsia="宋体" w:hAnsi="Calibri" w:hint="default"/>
          <w:b w:val="false"/>
          <w:bCs w:val="false"/>
          <w:i w:val="false"/>
          <w:iCs w:val="false"/>
          <w:color w:val="auto"/>
          <w:kern w:val="2"/>
          <w:sz w:val="24"/>
          <w:szCs w:val="24"/>
          <w:highlight w:val="none"/>
          <w:u w:val="single" w:color="auto"/>
          <w:vertAlign w:val="baseline"/>
          <w:em w:val="none"/>
          <w:lang w:val="en-US" w:bidi="ar-SA" w:eastAsia="zh-CN"/>
        </w:rPr>
        <w:t>性赔偿</w:t>
      </w:r>
      <w:r>
        <w:rPr>
          <w:rFonts w:ascii="宋体" w:cs="Times New Roman" w:eastAsia="宋体" w:hAnsi="Calibri" w:hint="default"/>
          <w:b w:val="false"/>
          <w:bCs w:val="false"/>
          <w:i w:val="false"/>
          <w:iCs w:val="false"/>
          <w:color w:val="auto"/>
          <w:kern w:val="2"/>
          <w:sz w:val="24"/>
          <w:szCs w:val="24"/>
          <w:highlight w:val="none"/>
          <w:u w:val="single"/>
          <w:vertAlign w:val="baseline"/>
          <w:em w:val="none"/>
          <w:lang w:val="en-US" w:bidi="ar-SA" w:eastAsia="zh-CN"/>
        </w:rPr>
        <w:t>)</w:t>
      </w:r>
      <w:r>
        <w:rPr>
          <w:rFonts w:ascii="宋体" w:cs="Times New Roman" w:hAnsi="Calibri" w:hint="default"/>
          <w:b w:val="false"/>
          <w:bCs w:val="false"/>
          <w:i w:val="false"/>
          <w:iCs w:val="false"/>
          <w:color w:val="auto"/>
          <w:kern w:val="2"/>
          <w:sz w:val="24"/>
          <w:szCs w:val="24"/>
          <w:highlight w:val="none"/>
          <w:vertAlign w:val="baseline"/>
          <w:em w:val="none"/>
          <w:lang w:val="en-US" w:bidi="ar-SA" w:eastAsia="zh-CN"/>
        </w:rPr>
        <w:t>；</w:t>
      </w:r>
    </w:p>
    <w:p w14:paraId="E3E5D7DB">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cs="Times New Roman" w:eastAsia="宋体" w:hAnsi="Calibri" w:hint="default"/>
          <w:b w:val="false"/>
          <w:bCs w:val="false"/>
          <w:i w:val="false"/>
          <w:iCs w:val="false"/>
          <w:color w:val="auto"/>
          <w:kern w:val="2"/>
          <w:sz w:val="24"/>
          <w:szCs w:val="24"/>
          <w:highlight w:val="none"/>
          <w:vertAlign w:val="baseline"/>
          <w:em w:val="none"/>
          <w:lang w:val="en-US" w:bidi="ar-SA" w:eastAsia="zh-CN"/>
        </w:rPr>
        <w:t>原告提供两种赔偿模型(分别参照"被告法定代表人的年收入"与"原告的"收入):</w:t>
      </w:r>
    </w:p>
    <w:p w14:paraId="22AEA38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①法院可以要求被告提供其法定代表人的年收入作为赔偿参考基准。</w:t>
      </w:r>
    </w:p>
    <w:p w14:paraId="3A31F3B1">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②原告保守估计现年收入: 383.65万元/年, 根据历史薪资计算年均增长率估值模型:</w:t>
      </w:r>
    </w:p>
    <w:p w14:paraId="FB9A1455">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rFonts w:ascii="宋体" w:eastAsia="宋体"/>
          <w:sz w:val="24"/>
          <w:szCs w:val="24"/>
          <w:lang w:val="en-US"/>
        </w:rPr>
      </w:pPr>
      <w:r>
        <w:rPr>
          <w:rFonts w:ascii="宋体" w:eastAsia="宋体"/>
          <w:sz w:val="24"/>
          <w:szCs w:val="24"/>
          <w:lang w:val="en-US"/>
        </w:rPr>
        <w:t xml:space="preserve">  2008年月薪7千，2018年月薪10万, 即年均增长15.49%; </w:t>
      </w:r>
    </w:p>
    <w:p w14:paraId="6BF0E8B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sz w:val="24"/>
          <w:szCs w:val="24"/>
          <w:lang w:val="en-US"/>
        </w:rPr>
      </w:pPr>
      <w:r>
        <w:rPr>
          <w:rFonts w:ascii="宋体" w:eastAsia="宋体"/>
          <w:sz w:val="24"/>
          <w:szCs w:val="24"/>
          <w:lang w:val="en-US"/>
        </w:rPr>
        <w:t>估计2025年月薪274040; 换算成日薪: 0.9135万元/天，或大约27.40万元/月。</w:t>
      </w:r>
    </w:p>
    <w:p w14:paraId="52BCEEC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630" w:leftChars="0"/>
        <w:jc w:val="both"/>
        <w:textAlignment w:val="auto"/>
        <w:outlineLvl w:val="9"/>
        <w:rPr>
          <w:rFonts w:ascii="宋体" w:eastAsia="宋体"/>
          <w:b/>
          <w:bCs/>
          <w:sz w:val="24"/>
          <w:szCs w:val="24"/>
          <w:lang w:val="en-US"/>
        </w:rPr>
      </w:pPr>
      <w:r>
        <w:rPr>
          <w:rFonts w:ascii="宋体" w:eastAsia="宋体"/>
          <w:b/>
          <w:bCs/>
          <w:sz w:val="24"/>
          <w:szCs w:val="24"/>
          <w:lang w:val="en-US"/>
        </w:rPr>
        <w:t>则被告分担赔偿金额</w:t>
      </w:r>
      <w:r>
        <w:rPr>
          <w:rFonts w:ascii="宋体" w:eastAsia="宋体"/>
          <w:sz w:val="24"/>
          <w:szCs w:val="24"/>
          <w:lang w:val="en-US"/>
        </w:rPr>
        <w:t xml:space="preserve"> </w:t>
      </w:r>
      <w:r>
        <w:rPr>
          <w:rFonts w:ascii="宋体" w:eastAsia="宋体"/>
          <w:b/>
          <w:bCs/>
          <w:sz w:val="24"/>
          <w:szCs w:val="24"/>
          <w:lang w:val="en-US"/>
        </w:rPr>
        <w:t>20279700</w:t>
      </w:r>
      <w:r>
        <w:rPr>
          <w:rFonts w:ascii="宋体" w:eastAsia="宋体"/>
          <w:sz w:val="24"/>
          <w:szCs w:val="24"/>
          <w:lang w:val="en-US"/>
        </w:rPr>
        <w:t>.</w:t>
      </w:r>
      <w:r>
        <w:rPr>
          <w:rFonts w:ascii="宋体" w:eastAsia="宋体"/>
          <w:b/>
          <w:bCs/>
          <w:sz w:val="24"/>
          <w:szCs w:val="24"/>
          <w:lang w:val="en-US"/>
        </w:rPr>
        <w:t>00</w:t>
      </w:r>
      <w:r>
        <w:rPr>
          <w:rFonts w:ascii="宋体" w:eastAsia="宋体"/>
          <w:sz w:val="24"/>
          <w:szCs w:val="24"/>
          <w:lang w:val="en-US"/>
        </w:rPr>
        <w:t>元[ 20 ×（71+40) ×0.9135×10000 ]</w:t>
      </w:r>
    </w:p>
    <w:p w14:paraId="6D0939C2">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b/>
          <w:bCs/>
          <w:sz w:val="24"/>
          <w:szCs w:val="24"/>
          <w:lang w:val="en-US"/>
        </w:rPr>
      </w:pPr>
    </w:p>
    <w:p w14:paraId="A0CCC787">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宋体" w:eastAsia="宋体"/>
          <w:sz w:val="24"/>
          <w:szCs w:val="24"/>
        </w:rPr>
      </w:pPr>
      <w:r>
        <w:rPr>
          <w:rFonts w:ascii="宋体" w:eastAsia="宋体"/>
          <w:b/>
          <w:bCs/>
          <w:sz w:val="24"/>
          <w:szCs w:val="24"/>
          <w:lang w:val="en-US"/>
        </w:rPr>
        <w:t>证据</w:t>
      </w:r>
      <w:r>
        <w:rPr>
          <w:rFonts w:ascii="宋体" w:eastAsia="宋体"/>
          <w:sz w:val="24"/>
          <w:szCs w:val="24"/>
          <w:lang w:val="en-US"/>
        </w:rPr>
        <w:t>:</w:t>
      </w:r>
    </w:p>
    <w:p w14:paraId="32705F85">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rFonts w:ascii="宋体" w:eastAsia="宋体" w:hAnsi="仿宋_GB2312"/>
          <w:b w:val="false"/>
          <w:bCs w:val="false"/>
          <w:sz w:val="24"/>
          <w:szCs w:val="24"/>
        </w:rPr>
      </w:pPr>
      <w:r>
        <w:rPr>
          <w:rFonts w:ascii="宋体" w:cs="仿宋_GB2312" w:eastAsia="宋体" w:hAnsi="仿宋_GB2312" w:hint="default"/>
          <w:b w:val="false"/>
          <w:bCs w:val="false"/>
          <w:i w:val="false"/>
          <w:iCs w:val="false"/>
          <w:color w:val="auto"/>
          <w:kern w:val="2"/>
          <w:sz w:val="24"/>
          <w:szCs w:val="24"/>
          <w:highlight w:val="none"/>
          <w:vertAlign w:val="baseline"/>
          <w:em w:val="none"/>
          <w:lang w:val="en-US" w:bidi="ar-SA" w:eastAsia="zh-CN"/>
        </w:rPr>
        <w:t>证据1. 微信支付交易记录;</w:t>
      </w:r>
    </w:p>
    <w:p w14:paraId="73B0FED4">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证据2. 关于《非银行支付机构支付业务设施技术要求》的"单笔退款"，对比:</w:t>
      </w:r>
    </w:p>
    <w:p w14:paraId="C3002FFD">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"新2022版国家标准GB/T41460-2022"与"</w:t>
      </w:r>
      <w:r>
        <w:rPr>
          <w:sz w:val="24"/>
          <w:szCs w:val="24"/>
          <w:lang w:val="en-US"/>
        </w:rPr>
        <w:t>旧2018版行业标准JR/T0122-201"的。</w:t>
      </w:r>
    </w:p>
    <w:p w14:paraId="C2864118">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rPr>
      </w:pPr>
      <w:r>
        <w:rPr>
          <w:sz w:val="24"/>
          <w:szCs w:val="24"/>
          <w:lang w:val="en-US"/>
        </w:rPr>
        <w:t>证据3. 财付通资格认证，包括: "支付业务许可证"(编号Z2000444000013)，</w:t>
      </w:r>
    </w:p>
    <w:p w14:paraId="E82492E6">
      <w:pPr>
        <w:pStyle w:val="style179"/>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firstLine="0" w:firstLineChars="0"/>
        <w:jc w:val="both"/>
        <w:textAlignment w:val="auto"/>
        <w:outlineLvl w:val="9"/>
        <w:rPr>
          <w:sz w:val="24"/>
          <w:szCs w:val="24"/>
        </w:rPr>
      </w:pPr>
      <w:r>
        <w:rPr>
          <w:sz w:val="24"/>
          <w:szCs w:val="24"/>
          <w:lang w:val="en-US"/>
        </w:rPr>
        <w:t>"非银行支付机构支付业务设施技术认证"服务认证证书(注册号CFNR201901440574)。</w:t>
      </w:r>
    </w:p>
    <w:p w14:paraId="0388D69D">
      <w:pPr>
        <w:pStyle w:val="style179"/>
        <w:keepNext w:val="false"/>
        <w:keepLines w:val="false"/>
        <w:pageBreakBefore w:val="false"/>
        <w:widowControl w:val="false"/>
        <w:numPr>
          <w:ilvl w:val="0"/>
          <w:numId w:val="39"/>
        </w:numPr>
        <w:kinsoku/>
        <w:wordWrap/>
        <w:overflowPunct/>
        <w:topLinePunct w:val="false"/>
        <w:autoSpaceDE/>
        <w:autoSpaceDN/>
        <w:bidi w:val="false"/>
        <w:adjustRightInd/>
        <w:snapToGrid/>
        <w:spacing w:lineRule="auto" w:line="240"/>
        <w:ind w:firstLineChars="0"/>
        <w:jc w:val="both"/>
        <w:textAlignment w:val="auto"/>
        <w:outlineLvl w:val="9"/>
        <w:rPr>
          <w:sz w:val="24"/>
          <w:szCs w:val="24"/>
          <w:lang w:val="en-US"/>
        </w:rPr>
      </w:pPr>
      <w:r>
        <w:rPr>
          <w:sz w:val="24"/>
          <w:szCs w:val="24"/>
          <w:lang w:val="en-US"/>
        </w:rPr>
        <w:t>本案是以下两宗案的关联案(</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可取得授权调取案件</w:t>
      </w:r>
      <w:r>
        <w:rPr>
          <w:rFonts w:ascii="Times New Roman" w:cs="Times New Roman" w:eastAsia="宋体" w:hAnsi="Times New Roman" w:hint="default"/>
          <w:b w:val="false"/>
          <w:bCs w:val="false"/>
          <w:i w:val="false"/>
          <w:iCs w:val="false"/>
          <w:noProof/>
          <w:snapToGrid w:val="false"/>
          <w:color w:val="000000"/>
          <w:kern w:val="0"/>
          <w:sz w:val="24"/>
          <w:szCs w:val="24"/>
          <w:highlight w:val="none"/>
          <w:vertAlign w:val="baseline"/>
          <w:em w:val="none"/>
          <w:lang w:val="en-US" w:bidi="ar-SA" w:eastAsia="zh-CN"/>
        </w:rPr>
        <w:t>证据及卷宗</w:t>
      </w:r>
      <w:r>
        <w:rPr>
          <w:sz w:val="24"/>
          <w:szCs w:val="24"/>
          <w:lang w:val="en-US"/>
        </w:rPr>
        <w:t>):</w:t>
      </w:r>
    </w:p>
    <w:p w14:paraId="2F64C39C">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lang w:val="en-US"/>
        </w:rPr>
      </w:pPr>
      <w:r>
        <w:rPr>
          <w:sz w:val="24"/>
          <w:szCs w:val="24"/>
          <w:lang w:val="en-US"/>
        </w:rPr>
        <w:t>"诉微信支付案"编号"(2025)粤0391民初8980号"；</w:t>
      </w:r>
    </w:p>
    <w:p w14:paraId="3082C509">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ind w:left="420" w:leftChars="0"/>
        <w:jc w:val="both"/>
        <w:textAlignment w:val="auto"/>
        <w:outlineLvl w:val="9"/>
        <w:rPr>
          <w:sz w:val="24"/>
          <w:szCs w:val="24"/>
        </w:rPr>
      </w:pPr>
      <w:r>
        <w:rPr>
          <w:sz w:val="24"/>
          <w:szCs w:val="24"/>
          <w:lang w:val="en-US"/>
        </w:rPr>
        <w:t>"诉淘宝案"编号"(2025)浙0192民初15597号"。</w:t>
      </w:r>
      <w:r>
        <w:rPr>
          <w:sz w:val="24"/>
          <w:szCs w:val="24"/>
        </w:rPr>
        <w:drawing>
          <wp:anchor distT="0" distB="0" distL="0" distR="0" simplePos="false" relativeHeight="3" behindDoc="false" locked="false" layoutInCell="true" allowOverlap="true">
            <wp:simplePos x="0" y="0"/>
            <wp:positionH relativeFrom="page">
              <wp:posOffset>6266611</wp:posOffset>
            </wp:positionH>
            <wp:positionV relativeFrom="page">
              <wp:posOffset>10420953</wp:posOffset>
            </wp:positionV>
            <wp:extent cx="404781" cy="719332"/>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20340000">
                      <a:off x="0" y="0"/>
                      <a:ext cx="404781" cy="719332"/>
                    </a:xfrm>
                    <a:prstGeom prst="rect"/>
                  </pic:spPr>
                </pic:pic>
              </a:graphicData>
            </a:graphic>
          </wp:anchor>
        </w:drawing>
      </w:r>
    </w:p>
    <w:p w14:paraId="AF326ADA">
      <w:pPr>
        <w:pStyle w:val="style0"/>
        <w:keepNext w:val="false"/>
        <w:keepLines w:val="false"/>
        <w:pageBreakBefore w:val="false"/>
        <w:widowControl w:val="false"/>
        <w:numPr>
          <w:ilvl w:val="0"/>
          <w:numId w:val="0"/>
        </w:numPr>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p>
    <w:p w14:paraId="092E8B5B">
      <w:pPr>
        <w:pStyle w:val="style0"/>
        <w:keepNext w:val="false"/>
        <w:keepLines w:val="false"/>
        <w:pageBreakBefore w:val="false"/>
        <w:widowControl w:val="false"/>
        <w:kinsoku/>
        <w:wordWrap/>
        <w:overflowPunct/>
        <w:topLinePunct w:val="false"/>
        <w:autoSpaceDE/>
        <w:autoSpaceDN/>
        <w:bidi w:val="false"/>
        <w:adjustRightInd/>
        <w:snapToGrid/>
        <w:spacing w:lineRule="auto" w:line="240"/>
        <w:jc w:val="both"/>
        <w:textAlignment w:val="auto"/>
        <w:outlineLvl w:val="9"/>
        <w:rPr>
          <w:rFonts w:ascii="仿宋_GB2312" w:cs="仿宋_GB2312" w:eastAsia="仿宋_GB2312" w:hAnsi="仿宋_GB2312" w:hint="eastAsia"/>
          <w:b/>
          <w:bCs/>
          <w:sz w:val="24"/>
          <w:szCs w:val="24"/>
          <w:lang w:val="en-US" w:eastAsia="zh-CN"/>
        </w:rPr>
      </w:pPr>
      <w:r>
        <w:rPr>
          <w:rFonts w:ascii="仿宋_GB2312" w:cs="仿宋_GB2312" w:eastAsia="仿宋_GB2312" w:hAnsi="仿宋_GB2312" w:hint="eastAsia"/>
          <w:b/>
          <w:bCs/>
          <w:sz w:val="24"/>
          <w:szCs w:val="24"/>
          <w:lang w:val="en-US" w:eastAsia="zh-CN"/>
        </w:rPr>
        <w:t>此致</w:t>
      </w:r>
      <w:r>
        <w:rPr>
          <w:sz w:val="24"/>
          <w:szCs w:val="24"/>
        </w:rPr>
        <w:drawing>
          <wp:anchor distT="0" distB="0" distL="0" distR="0" simplePos="false" relativeHeight="2" behindDoc="false" locked="false" layoutInCell="true" allowOverlap="true">
            <wp:simplePos x="0" y="0"/>
            <wp:positionH relativeFrom="page">
              <wp:posOffset>5793930</wp:posOffset>
            </wp:positionH>
            <wp:positionV relativeFrom="page">
              <wp:posOffset>10666720</wp:posOffset>
            </wp:positionV>
            <wp:extent cx="603908" cy="545717"/>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603908" cy="545717"/>
                    </a:xfrm>
                    <a:prstGeom prst="rect"/>
                  </pic:spPr>
                </pic:pic>
              </a:graphicData>
            </a:graphic>
          </wp:anchor>
        </w:drawing>
      </w:r>
    </w:p>
    <w:p w14:paraId="2583AE8A">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420" w:leftChars="0"/>
        <w:jc w:val="both"/>
        <w:textAlignment w:val="auto"/>
        <w:outlineLvl w:val="9"/>
        <w:rPr>
          <w:rFonts w:ascii="仿宋_GB2312" w:cs="仿宋_GB2312" w:eastAsia="仿宋_GB2312" w:hAnsi="仿宋_GB2312" w:hint="eastAsia"/>
          <w:sz w:val="24"/>
          <w:szCs w:val="24"/>
          <w:u w:val="none"/>
          <w:lang w:val="en-US" w:eastAsia="zh-CN"/>
        </w:rPr>
      </w:pPr>
      <w:r>
        <w:rPr>
          <w:rFonts w:ascii="仿宋_GB2312" w:cs="仿宋_GB2312" w:eastAsia="仿宋_GB2312" w:hAnsi="仿宋_GB2312" w:hint="default"/>
          <w:sz w:val="24"/>
          <w:szCs w:val="24"/>
          <w:u w:val="none"/>
          <w:lang w:val="en-US" w:eastAsia="zh-CN"/>
        </w:rPr>
        <w:t>北京市第一中级人民法院</w:t>
      </w:r>
    </w:p>
    <w:p w14:paraId="76E6D657">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5250" w:leftChars="0"/>
        <w:jc w:val="both"/>
        <w:textAlignment w:val="auto"/>
        <w:outlineLvl w:val="9"/>
        <w:rPr>
          <w:rFonts w:ascii="仿宋_GB2312" w:cs="仿宋_GB2312" w:eastAsia="仿宋_GB2312" w:hAnsi="仿宋_GB2312" w:hint="eastAsia"/>
          <w:sz w:val="24"/>
          <w:szCs w:val="24"/>
          <w:u w:val="single"/>
          <w:lang w:val="en-US" w:eastAsia="zh-CN"/>
        </w:rPr>
      </w:pPr>
      <w:r>
        <w:rPr>
          <w:rFonts w:ascii="仿宋_GB2312" w:cs="仿宋_GB2312" w:eastAsia="仿宋_GB2312" w:hAnsi="仿宋_GB2312" w:hint="default"/>
          <w:sz w:val="24"/>
          <w:szCs w:val="24"/>
          <w:u w:val="none"/>
          <w:lang w:val="en-US" w:eastAsia="zh-CN"/>
        </w:rPr>
        <w:t>起诉</w:t>
      </w:r>
      <w:r>
        <w:rPr>
          <w:rFonts w:ascii="仿宋_GB2312" w:cs="仿宋_GB2312" w:eastAsia="仿宋_GB2312" w:hAnsi="仿宋_GB2312" w:hint="eastAsia"/>
          <w:sz w:val="24"/>
          <w:szCs w:val="24"/>
          <w:u w:val="none"/>
          <w:lang w:val="en-US" w:eastAsia="zh-CN"/>
        </w:rPr>
        <w:t>人（签名或盖章）：</w:t>
      </w:r>
      <w:r>
        <w:rPr>
          <w:rFonts w:ascii="仿宋_GB2312" w:cs="仿宋_GB2312" w:eastAsia="仿宋_GB2312" w:hAnsi="仿宋_GB2312" w:hint="eastAsia"/>
          <w:sz w:val="24"/>
          <w:szCs w:val="24"/>
          <w:u w:val="single"/>
          <w:lang w:val="en-US" w:eastAsia="zh-CN"/>
        </w:rPr>
        <w:t xml:space="preserve">        </w:t>
      </w:r>
    </w:p>
    <w:p w14:paraId="4CEB85A1">
      <w:pPr>
        <w:pStyle w:val="style0"/>
        <w:keepNext w:val="false"/>
        <w:keepLines w:val="false"/>
        <w:pageBreakBefore w:val="false"/>
        <w:widowControl w:val="false"/>
        <w:kinsoku/>
        <w:wordWrap/>
        <w:overflowPunct/>
        <w:topLinePunct w:val="false"/>
        <w:autoSpaceDE/>
        <w:autoSpaceDN/>
        <w:bidi w:val="false"/>
        <w:adjustRightInd/>
        <w:snapToGrid/>
        <w:spacing w:lineRule="auto" w:line="240"/>
        <w:ind w:left="1050" w:leftChars="0" w:firstLine="640" w:firstLineChars="200"/>
        <w:jc w:val="both"/>
        <w:textAlignment w:val="auto"/>
        <w:outlineLvl w:val="9"/>
        <w:rPr>
          <w:rFonts w:ascii="仿宋_GB2312" w:cs="仿宋_GB2312" w:eastAsia="仿宋_GB2312" w:hAnsi="仿宋_GB2312" w:hint="default"/>
          <w:b/>
          <w:bCs/>
          <w:sz w:val="24"/>
          <w:szCs w:val="24"/>
          <w:u w:val="single"/>
          <w:lang w:val="en-US" w:eastAsia="zh-CN"/>
        </w:rPr>
      </w:pPr>
      <w:r>
        <w:rPr>
          <w:rFonts w:ascii="仿宋_GB2312" w:cs="仿宋_GB2312" w:eastAsia="仿宋_GB2312" w:hAnsi="仿宋_GB2312" w:hint="eastAsia"/>
          <w:sz w:val="24"/>
          <w:szCs w:val="24"/>
          <w:u w:val="none"/>
          <w:lang w:val="en-US" w:eastAsia="zh-CN"/>
        </w:rPr>
        <w:t xml:space="preserve">                                 </w:t>
      </w:r>
      <w:r>
        <w:rPr>
          <w:rFonts w:ascii="仿宋_GB2312" w:cs="仿宋_GB2312" w:eastAsia="仿宋_GB2312" w:hAnsi="仿宋_GB2312" w:hint="default"/>
          <w:sz w:val="24"/>
          <w:szCs w:val="24"/>
          <w:u w:val="none"/>
          <w:lang w:val="en-US" w:eastAsia="zh-CN"/>
        </w:rPr>
        <w:t xml:space="preserve">        </w:t>
      </w:r>
      <w:r>
        <w:rPr>
          <w:rFonts w:ascii="仿宋_GB2312" w:cs="仿宋_GB2312" w:eastAsia="仿宋_GB2312" w:hAnsi="仿宋_GB2312" w:hint="default"/>
          <w:sz w:val="24"/>
          <w:szCs w:val="24"/>
          <w:u w:val="single"/>
          <w:lang w:val="en-US" w:eastAsia="zh-CN"/>
        </w:rPr>
        <w:t>2025</w:t>
      </w:r>
      <w:r>
        <w:rPr>
          <w:rFonts w:ascii="仿宋_GB2312" w:cs="仿宋_GB2312" w:eastAsia="仿宋_GB2312" w:hAnsi="仿宋_GB2312" w:hint="eastAsia"/>
          <w:sz w:val="24"/>
          <w:szCs w:val="24"/>
          <w:u w:val="none"/>
          <w:lang w:val="en-US" w:eastAsia="zh-CN"/>
        </w:rPr>
        <w:t>年</w:t>
      </w:r>
      <w:r>
        <w:rPr>
          <w:rFonts w:ascii="仿宋_GB2312" w:cs="仿宋_GB2312" w:eastAsia="仿宋_GB2312" w:hAnsi="仿宋_GB2312" w:hint="default"/>
          <w:sz w:val="24"/>
          <w:szCs w:val="24"/>
          <w:u w:val="single"/>
          <w:lang w:val="en-US" w:eastAsia="zh-CN"/>
        </w:rPr>
        <w:t>09</w:t>
      </w:r>
      <w:r>
        <w:rPr>
          <w:rFonts w:ascii="仿宋_GB2312" w:cs="仿宋_GB2312" w:eastAsia="仿宋_GB2312" w:hAnsi="仿宋_GB2312" w:hint="eastAsia"/>
          <w:sz w:val="24"/>
          <w:szCs w:val="24"/>
          <w:u w:val="none"/>
          <w:lang w:val="en-US" w:eastAsia="zh-CN"/>
        </w:rPr>
        <w:t>月</w:t>
      </w:r>
      <w:r>
        <w:rPr>
          <w:rFonts w:ascii="仿宋_GB2312" w:cs="仿宋_GB2312" w:eastAsia="仿宋_GB2312" w:hAnsi="仿宋_GB2312" w:hint="default"/>
          <w:sz w:val="24"/>
          <w:szCs w:val="24"/>
          <w:u w:val="single"/>
          <w:lang w:val="en-US" w:eastAsia="zh-CN"/>
        </w:rPr>
        <w:t>04</w:t>
      </w:r>
      <w:r>
        <w:rPr>
          <w:rFonts w:ascii="仿宋_GB2312" w:cs="仿宋_GB2312" w:eastAsia="仿宋_GB2312" w:hAnsi="仿宋_GB2312" w:hint="eastAsia"/>
          <w:sz w:val="24"/>
          <w:szCs w:val="24"/>
          <w:u w:val="none"/>
          <w:lang w:val="en-US" w:eastAsia="zh-CN"/>
        </w:rPr>
        <w:t xml:space="preserve">日 </w:t>
      </w:r>
    </w:p>
    <w:p w14:paraId="74F5BD2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center"/>
        <w:textAlignment w:val="auto"/>
        <w:rPr>
          <w:rFonts w:ascii="宋体" w:eastAsia="宋体"/>
        </w:rPr>
      </w:pPr>
      <w:r>
        <w:rPr>
          <w:rFonts w:ascii="宋体" w:cs="仿宋_GB2312" w:eastAsia="宋体" w:hAnsi="仿宋_GB2312" w:hint="default"/>
          <w:b w:val="false"/>
          <w:bCs w:val="false"/>
          <w:sz w:val="24"/>
          <w:szCs w:val="24"/>
          <w:lang w:val="en-US" w:eastAsia="zh-CN"/>
        </w:rPr>
        <w:t>...</w:t>
      </w:r>
    </w:p>
    <w:p w14:paraId="74746123">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宋体" w:cs="仿宋_GB2312" w:eastAsia="宋体" w:hAnsi="仿宋_GB2312" w:hint="default"/>
          <w:b/>
          <w:bCs/>
          <w:sz w:val="32"/>
          <w:szCs w:val="32"/>
          <w:u w:val="single"/>
          <w:lang w:val="en-US" w:eastAsia="zh-CN"/>
        </w:rPr>
      </w:pPr>
      <w:r>
        <w:rPr>
          <w:rFonts w:ascii="宋体" w:cs="仿宋_GB2312" w:eastAsia="宋体" w:hAnsi="仿宋_GB2312" w:hint="default"/>
          <w:b/>
          <w:bCs/>
          <w:sz w:val="48"/>
          <w:szCs w:val="48"/>
          <w:u w:val="single"/>
          <w:lang w:val="en-US" w:eastAsia="zh-CN"/>
        </w:rPr>
        <w:t xml:space="preserve">        证据1. 微信支付交易记录         </w:t>
      </w:r>
    </w:p>
    <w:p w14:paraId="2A34FB1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rFonts w:ascii="宋体" w:eastAsia="宋体"/>
        </w:rPr>
        <w:drawing>
          <wp:anchor distT="0" distB="0" distL="0" distR="0" simplePos="false" relativeHeight="5" behindDoc="false" locked="false" layoutInCell="true" allowOverlap="true">
            <wp:simplePos x="0" y="0"/>
            <wp:positionH relativeFrom="page">
              <wp:posOffset>657688</wp:posOffset>
            </wp:positionH>
            <wp:positionV relativeFrom="page">
              <wp:posOffset>2074306</wp:posOffset>
            </wp:positionV>
            <wp:extent cx="2789410" cy="4102295"/>
            <wp:effectExtent l="0" t="0" r="0" b="0"/>
            <wp:wrapNone/>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11773" r="1" b="18565"/>
                    <a:stretch/>
                  </pic:blipFill>
                  <pic:spPr>
                    <a:xfrm rot="0">
                      <a:off x="0" y="0"/>
                      <a:ext cx="2789410" cy="4102295"/>
                    </a:xfrm>
                    <a:prstGeom prst="rect"/>
                  </pic:spPr>
                </pic:pic>
              </a:graphicData>
            </a:graphic>
          </wp:anchor>
        </w:drawing>
      </w:r>
      <w:r>
        <w:rPr/>
        <w:drawing>
          <wp:anchor distT="0" distB="0" distL="0" distR="0" simplePos="false" relativeHeight="4" behindDoc="false" locked="false" layoutInCell="true" allowOverlap="true">
            <wp:simplePos x="0" y="0"/>
            <wp:positionH relativeFrom="page">
              <wp:posOffset>3714454</wp:posOffset>
            </wp:positionH>
            <wp:positionV relativeFrom="page">
              <wp:posOffset>2050590</wp:posOffset>
            </wp:positionV>
            <wp:extent cx="2841211" cy="4022431"/>
            <wp:effectExtent l="0" t="0" r="0" b="0"/>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11338" r="0" b="24976"/>
                    <a:stretch/>
                  </pic:blipFill>
                  <pic:spPr>
                    <a:xfrm rot="0">
                      <a:off x="0" y="0"/>
                      <a:ext cx="2841211" cy="4022431"/>
                    </a:xfrm>
                    <a:prstGeom prst="rect"/>
                  </pic:spPr>
                </pic:pic>
              </a:graphicData>
            </a:graphic>
          </wp:anchor>
        </w:drawing>
      </w:r>
    </w:p>
    <w:p w14:paraId="1956FF8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p>
    <w:p w14:paraId="11B1DCF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083F545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6B1CDE10">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36BF1B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C224DF28">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F9848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46ABD95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157D4B3F">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8354534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left"/>
        <w:textAlignment w:val="auto"/>
        <w:rPr/>
      </w:pPr>
    </w:p>
    <w:p w14:paraId="83F4CC4A">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rFonts w:ascii="仿宋_GB2312" w:cs="仿宋_GB2312" w:eastAsia="仿宋_GB2312" w:hAnsi="仿宋_GB2312" w:hint="default"/>
          <w:b/>
          <w:bCs/>
          <w:sz w:val="48"/>
          <w:szCs w:val="48"/>
          <w:u w:val="single"/>
          <w:lang w:val="en-US" w:eastAsia="zh-CN"/>
        </w:rPr>
      </w:pPr>
    </w:p>
    <w:p w14:paraId="49570056">
      <w:pPr>
        <w:pStyle w:val="style0"/>
        <w:keepNext w:val="false"/>
        <w:keepLines w:val="false"/>
        <w:pageBreakBefore w:val="false"/>
        <w:widowControl w:val="false"/>
        <w:kinsoku/>
        <w:wordWrap/>
        <w:overflowPunct/>
        <w:topLinePunct w:val="false"/>
        <w:autoSpaceDE/>
        <w:autoSpaceDN/>
        <w:bidi w:val="false"/>
        <w:adjustRightInd/>
        <w:snapToGrid/>
        <w:spacing w:lineRule="exact" w:line="600"/>
        <w:jc w:val="left"/>
        <w:textAlignment w:val="auto"/>
        <w:rPr>
          <w:u w:val="single"/>
        </w:rPr>
      </w:pPr>
      <w:r>
        <w:rPr>
          <w:rFonts w:ascii="仿宋_GB2312" w:cs="仿宋_GB2312" w:eastAsia="仿宋_GB2312" w:hAnsi="仿宋_GB2312" w:hint="default"/>
          <w:b/>
          <w:bCs/>
          <w:sz w:val="48"/>
          <w:szCs w:val="48"/>
          <w:u w:val="single"/>
          <w:lang w:val="en-US" w:eastAsia="zh-CN"/>
        </w:rPr>
        <w:t>证据2.对比: 2018</w:t>
      </w:r>
      <w:r>
        <w:rPr>
          <w:rFonts w:ascii="仿宋_GB2312" w:cs="仿宋_GB2312" w:eastAsia="仿宋_GB2312" w:hAnsi="仿宋_GB2312" w:hint="default"/>
          <w:b/>
          <w:bCs/>
          <w:i w:val="false"/>
          <w:iCs w:val="false"/>
          <w:color w:val="auto"/>
          <w:kern w:val="2"/>
          <w:sz w:val="48"/>
          <w:szCs w:val="48"/>
          <w:highlight w:val="none"/>
          <w:u w:val="single"/>
          <w:vertAlign w:val="baseline"/>
          <w:em w:val="none"/>
          <w:lang w:val="en-US" w:bidi="ar-SA" w:eastAsia="zh-CN"/>
        </w:rPr>
        <w:t>旧</w:t>
      </w:r>
      <w:r>
        <w:rPr>
          <w:rFonts w:ascii="仿宋_GB2312" w:cs="仿宋_GB2312" w:eastAsia="仿宋_GB2312" w:hAnsi="仿宋_GB2312" w:hint="default"/>
          <w:b/>
          <w:bCs/>
          <w:sz w:val="48"/>
          <w:szCs w:val="48"/>
          <w:u w:val="single"/>
          <w:lang w:val="en-US" w:eastAsia="zh-CN"/>
        </w:rPr>
        <w:t>行标 与</w:t>
      </w:r>
      <w:r>
        <w:rPr>
          <w:b/>
          <w:bCs/>
          <w:sz w:val="24"/>
          <w:szCs w:val="32"/>
          <w:u w:val="single"/>
          <w:lang w:val="en-US"/>
        </w:rPr>
        <w:t xml:space="preserve"> </w:t>
      </w:r>
      <w:r>
        <w:rPr>
          <w:rFonts w:ascii="Calibri" w:cs="Times New Roman" w:eastAsia="宋体" w:hAnsi="Calibri" w:hint="default"/>
          <w:b/>
          <w:bCs/>
          <w:i w:val="false"/>
          <w:iCs w:val="false"/>
          <w:color w:val="auto"/>
          <w:kern w:val="2"/>
          <w:sz w:val="48"/>
          <w:szCs w:val="48"/>
          <w:highlight w:val="none"/>
          <w:u w:val="single"/>
          <w:vertAlign w:val="baseline"/>
          <w:em w:val="none"/>
          <w:lang w:val="en-US" w:bidi="ar-SA" w:eastAsia="zh-CN"/>
        </w:rPr>
        <w:t>2022新国标</w:t>
      </w:r>
    </w:p>
    <w:p w14:paraId="4EC8B2F2">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u w:val="single"/>
        </w:rPr>
      </w:pPr>
      <w:r>
        <w:rPr>
          <w:u w:val="single"/>
        </w:rPr>
        <w:drawing>
          <wp:anchor distT="0" distB="0" distL="0" distR="0" simplePos="false" relativeHeight="9" behindDoc="false" locked="false" layoutInCell="true" allowOverlap="true">
            <wp:simplePos x="0" y="0"/>
            <wp:positionH relativeFrom="page">
              <wp:posOffset>438445</wp:posOffset>
            </wp:positionH>
            <wp:positionV relativeFrom="page">
              <wp:posOffset>7289462</wp:posOffset>
            </wp:positionV>
            <wp:extent cx="2972618" cy="5248324"/>
            <wp:effectExtent l="0" t="0" r="0" b="0"/>
            <wp:wrapNone/>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5508" t="5083" r="15080" b="31843"/>
                    <a:stretch/>
                  </pic:blipFill>
                  <pic:spPr>
                    <a:xfrm rot="0">
                      <a:off x="0" y="0"/>
                      <a:ext cx="2972618" cy="5248324"/>
                    </a:xfrm>
                    <a:prstGeom prst="rect"/>
                  </pic:spPr>
                </pic:pic>
              </a:graphicData>
            </a:graphic>
          </wp:anchor>
        </w:drawing>
      </w:r>
      <w:r>
        <w:rPr>
          <w:b/>
          <w:bCs/>
          <w:sz w:val="24"/>
          <w:szCs w:val="32"/>
          <w:u w:val="single"/>
        </w:rPr>
        <w:drawing>
          <wp:anchor distT="0" distB="0" distL="0" distR="0" simplePos="false" relativeHeight="6" behindDoc="false" locked="false" layoutInCell="true" allowOverlap="true">
            <wp:simplePos x="0" y="0"/>
            <wp:positionH relativeFrom="page">
              <wp:posOffset>3736902</wp:posOffset>
            </wp:positionH>
            <wp:positionV relativeFrom="page">
              <wp:posOffset>7378293</wp:posOffset>
            </wp:positionV>
            <wp:extent cx="2947351" cy="5242266"/>
            <wp:effectExtent l="0" t="0" r="0" b="0"/>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1774" t="2473" r="3673" b="29328"/>
                    <a:stretch/>
                  </pic:blipFill>
                  <pic:spPr>
                    <a:xfrm rot="0">
                      <a:off x="0" y="0"/>
                      <a:ext cx="2947351" cy="5242266"/>
                    </a:xfrm>
                    <a:prstGeom prst="rect"/>
                  </pic:spPr>
                </pic:pic>
              </a:graphicData>
            </a:graphic>
          </wp:anchor>
        </w:drawing>
      </w:r>
    </w:p>
    <w:p w14:paraId="2DF19F74">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A35A3DD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5E4C71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5ACEE6F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63D6AD1">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8E40F9A5">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0F5BB1F9">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D285C17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4E172F9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b/>
          <w:bCs/>
          <w:sz w:val="22"/>
          <w:szCs w:val="28"/>
        </w:rPr>
      </w:pPr>
    </w:p>
    <w:p w14:paraId="EFFF467C">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rFonts w:ascii="仿宋_GB2312" w:cs="仿宋_GB2312" w:eastAsia="仿宋_GB2312" w:hAnsi="仿宋_GB2312" w:hint="default"/>
          <w:b/>
          <w:bCs/>
          <w:sz w:val="32"/>
          <w:szCs w:val="32"/>
          <w:lang w:val="en-US" w:eastAsia="zh-CN"/>
        </w:rPr>
      </w:pPr>
    </w:p>
    <w:p w14:paraId="ADDB9F47">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textAlignment w:val="auto"/>
        <w:rPr/>
      </w:pP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r>
        <w:rPr>
          <w:rFonts w:ascii="仿宋_GB2312" w:cs="仿宋_GB2312" w:eastAsia="仿宋_GB2312" w:hAnsi="仿宋_GB2312" w:hint="default"/>
          <w:b/>
          <w:bCs/>
          <w:i w:val="false"/>
          <w:iCs w:val="false"/>
          <w:color w:val="auto"/>
          <w:kern w:val="2"/>
          <w:sz w:val="32"/>
          <w:szCs w:val="32"/>
          <w:highlight w:val="none"/>
          <w:u w:val="single" w:color="auto"/>
          <w:vertAlign w:val="baseline"/>
          <w:em w:val="none"/>
          <w:lang w:val="en-US" w:bidi="ar-SA" w:eastAsia="zh-CN"/>
        </w:rPr>
        <w:t xml:space="preserve">                       </w:t>
      </w:r>
    </w:p>
    <w:p w14:paraId="C1DD34BE">
      <w:pPr>
        <w:pStyle w:val="style0"/>
        <w:keepNext w:val="false"/>
        <w:keepLines w:val="false"/>
        <w:pageBreakBefore w:val="false"/>
        <w:widowControl w:val="false"/>
        <w:kinsoku/>
        <w:wordWrap/>
        <w:overflowPunct/>
        <w:topLinePunct w:val="false"/>
        <w:autoSpaceDE/>
        <w:autoSpaceDN/>
        <w:bidi w:val="false"/>
        <w:adjustRightInd/>
        <w:snapToGrid/>
        <w:spacing w:lineRule="exact" w:line="600"/>
        <w:ind w:firstLine="0" w:firstLineChars="0"/>
        <w:jc w:val="center"/>
        <w:textAlignment w:val="auto"/>
        <w:rPr>
          <w:rFonts w:ascii="仿宋_GB2312" w:cs="仿宋_GB2312" w:eastAsia="仿宋_GB2312" w:hAnsi="仿宋_GB2312" w:hint="default"/>
          <w:b/>
          <w:bCs/>
          <w:sz w:val="32"/>
          <w:szCs w:val="32"/>
          <w:lang w:val="en-US" w:eastAsia="zh-CN"/>
        </w:rPr>
      </w:pPr>
      <w:r>
        <w:rPr/>
        <w:drawing>
          <wp:anchor distT="0" distB="0" distL="0" distR="0" simplePos="false" relativeHeight="8" behindDoc="false" locked="false" layoutInCell="true" allowOverlap="true">
            <wp:simplePos x="0" y="0"/>
            <wp:positionH relativeFrom="page">
              <wp:posOffset>819967</wp:posOffset>
            </wp:positionH>
            <wp:positionV relativeFrom="page">
              <wp:posOffset>1612905</wp:posOffset>
            </wp:positionV>
            <wp:extent cx="6016266" cy="4339553"/>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5487" t="4016" r="4748" b="4803"/>
                    <a:stretch/>
                  </pic:blipFill>
                  <pic:spPr>
                    <a:xfrm rot="0">
                      <a:off x="0" y="0"/>
                      <a:ext cx="6016266" cy="4339553"/>
                    </a:xfrm>
                    <a:prstGeom prst="rect"/>
                  </pic:spPr>
                </pic:pic>
              </a:graphicData>
            </a:graphic>
          </wp:anchor>
        </w:drawing>
      </w:r>
      <w:r>
        <w:rPr>
          <w:sz w:val="28"/>
          <w:szCs w:val="36"/>
        </w:rPr>
        <w:drawing>
          <wp:anchor distT="0" distB="0" distL="0" distR="0" simplePos="false" relativeHeight="7" behindDoc="false" locked="false" layoutInCell="true" allowOverlap="true">
            <wp:simplePos x="0" y="0"/>
            <wp:positionH relativeFrom="page">
              <wp:posOffset>1763481</wp:posOffset>
            </wp:positionH>
            <wp:positionV relativeFrom="page">
              <wp:posOffset>5304601</wp:posOffset>
            </wp:positionV>
            <wp:extent cx="4228359" cy="6011051"/>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16200000">
                      <a:off x="0" y="0"/>
                      <a:ext cx="4228359" cy="6011051"/>
                    </a:xfrm>
                    <a:prstGeom prst="rect"/>
                  </pic:spPr>
                </pic:pic>
              </a:graphicData>
            </a:graphic>
          </wp:anchor>
        </w:drawing>
      </w:r>
      <w:r>
        <w:rPr>
          <w:b/>
          <w:bCs/>
          <w:sz w:val="48"/>
          <w:szCs w:val="48"/>
          <w:u w:val="single"/>
          <w:lang w:val="en-US"/>
        </w:rPr>
        <w:t>证据3. 财付通资格认证许可</w:t>
      </w:r>
    </w:p>
    <w:sectPr>
      <w:headerReference w:type="default" r:id="rId10"/>
      <w:footerReference w:type="default" r:id="rId11"/>
      <w:type w:val="continuous"/>
      <w:pgSz w:w="12240" w:h="20160" w:orient="portrait"/>
      <w:pgMar w:top="1814" w:right="1474" w:bottom="1757" w:left="1474" w:header="850" w:footer="992" w:gutter="0"/>
      <w:pgNumType w:fmt="decimal" w:start="1"/>
      <w:cols w:space="720" w:num="1"/>
      <w:rtlGutter w:val="false"/>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 w:name="宋体">
    <w:altName w:val="宋体"/>
    <w:panose1 w:val="02010600030000010101"/>
    <w:charset w:val="86"/>
    <w:family w:val="auto"/>
    <w:pitch w:val="default"/>
    <w:sig w:usb0="000002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1"/>
    <w:family w:val="swiss"/>
    <w:pitch w:val="default"/>
    <w:sig w:usb0="E0002EFF" w:usb1="C000785B" w:usb2="00000009" w:usb3="00000000" w:csb0="400001FF" w:csb1="FFFF0000"/>
  </w:font>
  <w:font w:name="黑体">
    <w:altName w:val="黑体"/>
    <w:panose1 w:val="02010609060000010101"/>
    <w:charset w:val="86"/>
    <w:family w:val="auto"/>
    <w:pitch w:val="default"/>
    <w:sig w:usb0="800002BF" w:usb1="38CF7CFA" w:usb2="00000016" w:usb3="00000000" w:csb0="00040001" w:csb1="00000000"/>
  </w:font>
  <w:font w:name="Courier New">
    <w:altName w:val="Courier New"/>
    <w:panose1 w:val="02070309020000020404"/>
    <w:charset w:val="01"/>
    <w:family w:val="modern"/>
    <w:pitch w:val="default"/>
    <w:sig w:usb0="E0002EFF" w:usb1="C0007843" w:usb2="00000009" w:usb3="00000000" w:csb0="400001FF" w:csb1="FFFF0000"/>
  </w:font>
  <w:font w:name="Symbol">
    <w:altName w:val="Symbol"/>
    <w:panose1 w:val="05050102010000020507"/>
    <w:charset w:val="02"/>
    <w:family w:val="roman"/>
    <w:pitch w:val="default"/>
    <w:sig w:usb0="00000000" w:usb1="00000000" w:usb2="00000000" w:usb3="00000000" w:csb0="80000000" w:csb1="00000000"/>
  </w:font>
  <w:font w:name="Calibri">
    <w:altName w:val="Calibri"/>
    <w:panose1 w:val="020f0502020000030204"/>
    <w:charset w:val="00"/>
    <w:family w:val="swiss"/>
    <w:pitch w:val="default"/>
    <w:sig w:usb0="E4002EFF" w:usb1="C000247B" w:usb2="00000009" w:usb3="00000000" w:csb0="200001FF" w:csb1="00000000"/>
  </w:font>
  <w:font w:name="方正小标宋简体">
    <w:altName w:val="方正小标宋简体"/>
    <w:panose1 w:val="02010601030000010101"/>
    <w:charset w:val="86"/>
    <w:family w:val="auto"/>
    <w:pitch w:val="default"/>
    <w:sig w:usb0="00000001" w:usb1="080E0000" w:usb2="00000000" w:usb3="00000000" w:csb0="00040000" w:csb1="00000000"/>
  </w:font>
  <w:font w:name="仿宋_GB2312">
    <w:altName w:val="仿宋"/>
    <w:panose1 w:val="02010609030000010101"/>
    <w:charset w:val="86"/>
    <w:family w:val="modern"/>
    <w:pitch w:val="default"/>
    <w:sig w:usb0="00000001" w:usb1="080E0000" w:usb2="00000000" w:usb3="00000000" w:csb0="00040000" w:csb1="00000000"/>
  </w:font>
  <w:font w:name="楷体_GB2312">
    <w:altName w:val="楷体"/>
    <w:panose1 w:val="02010609030000010101"/>
    <w:charset w:val="86"/>
    <w:family w:val="auto"/>
    <w:pitch w:val="default"/>
    <w:sig w:usb0="00000001" w:usb1="080E0000" w:usb2="00000000" w:usb3="00000000" w:csb0="00040000" w:csb1="00000000"/>
  </w:font>
  <w:font w:name="方正小标宋_GBK">
    <w:altName w:val="方正小标宋_GBK"/>
    <w:panose1 w:val="02000000000000000000"/>
    <w:charset w:val="86"/>
    <w:family w:val="auto"/>
    <w:pitch w:val="default"/>
    <w:sig w:usb0="00000001" w:usb1="080E0000" w:usb2="00000000" w:usb3="00000000" w:csb0="00040000" w:csb1="00000000"/>
  </w:font>
  <w:font w:name="方正楷体_GBK">
    <w:altName w:val="方正楷体_GBK"/>
    <w:panose1 w:val="03000509000000000000"/>
    <w:charset w:val="86"/>
    <w:family w:val="auto"/>
    <w:pitch w:val="default"/>
    <w:sig w:usb0="00000001" w:usb1="080E0000" w:usb2="00000000" w:usb3="00000000" w:csb0="00040000" w:csb1="00000000"/>
  </w:font>
  <w:font w:name="方正黑体_GBK">
    <w:altName w:val="方正黑体_GBK"/>
    <w:panose1 w:val="03000509000000000000"/>
    <w:charset w:val="86"/>
    <w:family w:val="script"/>
    <w:pitch w:val="default"/>
    <w:sig w:usb0="00000001" w:usb1="080E0000" w:usb2="00000000" w:usb3="00000000" w:csb0="00040000" w:csb1="00000000"/>
  </w:font>
  <w:font w:name="仿宋">
    <w:altName w:val="仿宋"/>
    <w:panose1 w:val="02010609060000010101"/>
    <w:charset w:val="86"/>
    <w:family w:val="auto"/>
    <w:pitch w:val="default"/>
    <w:sig w:usb0="800002BF" w:usb1="38CF7CFA" w:usb2="00000016" w:usb3="00000000" w:csb0="00040001" w:csb1="00000000"/>
  </w:font>
  <w:font w:name="长城小标宋体">
    <w:altName w:val="方正小标宋_GBK"/>
    <w:panose1 w:val="00000000000000000000"/>
    <w:charset w:val="86"/>
    <w:family w:val="auto"/>
    <w:pitch w:val="default"/>
    <w:sig w:usb0="00000000" w:usb1="00000000" w:usb2="00000010" w:usb3="00000000" w:csb0="00040000" w:csb1="00000000"/>
  </w:font>
  <w:font w:name="华文中宋">
    <w:altName w:val="宋体"/>
    <w:panose1 w:val="02010600040000010101"/>
    <w:charset w:val="00"/>
    <w:family w:val="auto"/>
    <w:pitch w:val="default"/>
    <w:sig w:usb0="00000000" w:usb1="00000000" w:usb2="00000000" w:usb3="00000000" w:csb0="0004009F" w:csb1="DFD70000"/>
  </w:font>
  <w:font w:name="楷体">
    <w:altName w:val="楷体"/>
    <w:panose1 w:val="02010609060000010101"/>
    <w:charset w:val="86"/>
    <w:family w:val="auto"/>
    <w:pitch w:val="default"/>
    <w:sig w:usb0="800002BF" w:usb1="38CF7CFA" w:usb2="00000016" w:usb3="00000000" w:csb0="00040001" w:csb1="00000000"/>
  </w:font>
  <w:font w:name="Microsoft YaHei">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610CA588">
    <w:pPr>
      <w:pStyle w:val="style31"/>
      <w:jc w:val="left"/>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14:paraId="00666282">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ECB9E9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1"/>
    <w:multiLevelType w:val="hybridMultilevel"/>
    <w:tmpl w:val="E482855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000002"/>
    <w:multiLevelType w:val="hybridMultilevel"/>
    <w:tmpl w:val="22DD6A06"/>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0000003"/>
    <w:multiLevelType w:val="hybridMultilevel"/>
    <w:tmpl w:val="82C1D068"/>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4"/>
    <w:multiLevelType w:val="hybridMultilevel"/>
    <w:tmpl w:val="A3CA0DB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0000005"/>
    <w:multiLevelType w:val="hybridMultilevel"/>
    <w:tmpl w:val="CF22D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0000006"/>
    <w:multiLevelType w:val="hybridMultilevel"/>
    <w:tmpl w:val="1382A0F7"/>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0000007"/>
    <w:multiLevelType w:val="hybridMultilevel"/>
    <w:tmpl w:val="351013FE"/>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0000008"/>
    <w:multiLevelType w:val="hybridMultilevel"/>
    <w:tmpl w:val="443BAFD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72CE2363"/>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0000000A"/>
    <w:multiLevelType w:val="hybridMultilevel"/>
    <w:tmpl w:val="604DF695"/>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00000B"/>
    <w:multiLevelType w:val="hybridMultilevel"/>
    <w:tmpl w:val="7941C837"/>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000000C"/>
    <w:multiLevelType w:val="hybridMultilevel"/>
    <w:tmpl w:val="1207A5CD"/>
    <w:lvl w:ilvl="0" w:tplc="0409000F">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nsid w:val="0000000D"/>
    <w:multiLevelType w:val="hybridMultilevel"/>
    <w:tmpl w:val="91C0F3B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000000E"/>
    <w:multiLevelType w:val="hybridMultilevel"/>
    <w:tmpl w:val="8BA55E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0F"/>
    <w:multiLevelType w:val="hybridMultilevel"/>
    <w:tmpl w:val="8438030B"/>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61B40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1"/>
    <w:multiLevelType w:val="hybridMultilevel"/>
    <w:tmpl w:val="14FCBA79"/>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0F6D823"/>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nsid w:val="00000013"/>
    <w:multiLevelType w:val="hybridMultilevel"/>
    <w:tmpl w:val="641870C9"/>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nsid w:val="00000014"/>
    <w:multiLevelType w:val="hybridMultilevel"/>
    <w:tmpl w:val="5C998BBF"/>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0000015"/>
    <w:multiLevelType w:val="hybridMultilevel"/>
    <w:tmpl w:val="055759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0000016"/>
    <w:multiLevelType w:val="hybridMultilevel"/>
    <w:tmpl w:val="7BCF3FD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0000017"/>
    <w:multiLevelType w:val="hybridMultilevel"/>
    <w:tmpl w:val="E1E8D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0000018"/>
    <w:multiLevelType w:val="hybridMultilevel"/>
    <w:tmpl w:val="BB4D441B"/>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0000019"/>
    <w:multiLevelType w:val="hybridMultilevel"/>
    <w:tmpl w:val="633FBCC3"/>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000001A"/>
    <w:multiLevelType w:val="hybridMultilevel"/>
    <w:tmpl w:val="20F4C409"/>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000001B"/>
    <w:multiLevelType w:val="hybridMultilevel"/>
    <w:tmpl w:val="DB681BBE"/>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0000001C"/>
    <w:multiLevelType w:val="hybridMultilevel"/>
    <w:tmpl w:val="8D8971AC"/>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0000001D"/>
    <w:multiLevelType w:val="hybridMultilevel"/>
    <w:tmpl w:val="73AB336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0000001E"/>
    <w:multiLevelType w:val="hybridMultilevel"/>
    <w:tmpl w:val="ADB77A77"/>
    <w:lvl w:ilvl="0" w:tplc="0409000F">
      <w:start w:val="2"/>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0000001F"/>
    <w:multiLevelType w:val="hybridMultilevel"/>
    <w:tmpl w:val="6D5D0C6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nsid w:val="00000020"/>
    <w:multiLevelType w:val="hybridMultilevel"/>
    <w:tmpl w:val="BD14DB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23EEB1A7"/>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7153148"/>
    <w:lvl w:ilvl="0" w:tplc="0409000F">
      <w:start w:val="3"/>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3"/>
    <w:multiLevelType w:val="hybridMultilevel"/>
    <w:tmpl w:val="5917488A"/>
    <w:lvl w:ilvl="0" w:tplc="0409000F">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0"/>
  </w:num>
  <w:num w:numId="3">
    <w:abstractNumId w:val="1"/>
  </w:num>
  <w:num w:numId="4">
    <w:abstractNumId w:val="2"/>
  </w:num>
  <w:num w:numId="5">
    <w:abstractNumId w:val="3"/>
  </w:num>
  <w:num w:numId="6">
    <w:abstractNumId w:val="4"/>
  </w:num>
  <w:num w:numId="7">
    <w:abstractNumId w:val="4"/>
  </w:num>
  <w:num w:numId="8">
    <w:abstractNumId w:val="5"/>
  </w:num>
  <w:num w:numId="9">
    <w:abstractNumId w:val="6"/>
  </w:num>
  <w:num w:numId="10">
    <w:abstractNumId w:val="6"/>
  </w:num>
  <w:num w:numId="11">
    <w:abstractNumId w:val="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2"/>
  </w:num>
  <w:num w:numId="19">
    <w:abstractNumId w:val="13"/>
  </w:num>
  <w:num w:numId="20">
    <w:abstractNumId w:val="14"/>
  </w:num>
  <w:num w:numId="21">
    <w:abstractNumId w:val="15"/>
  </w:num>
  <w:num w:numId="22">
    <w:abstractNumId w:val="16"/>
  </w:num>
  <w:num w:numId="23">
    <w:abstractNumId w:val="16"/>
  </w:num>
  <w:num w:numId="24">
    <w:abstractNumId w:val="17"/>
  </w:num>
  <w:num w:numId="25">
    <w:abstractNumId w:val="17"/>
  </w:num>
  <w:num w:numId="26">
    <w:abstractNumId w:val="18"/>
  </w:num>
  <w:num w:numId="27">
    <w:abstractNumId w:val="18"/>
  </w:num>
  <w:num w:numId="28">
    <w:abstractNumId w:val="19"/>
  </w:num>
  <w:num w:numId="29">
    <w:abstractNumId w:val="20"/>
  </w:num>
  <w:num w:numId="30">
    <w:abstractNumId w:val="20"/>
  </w:num>
  <w:num w:numId="31">
    <w:abstractNumId w:val="21"/>
  </w:num>
  <w:num w:numId="32">
    <w:abstractNumId w:val="21"/>
  </w:num>
  <w:num w:numId="33">
    <w:abstractNumId w:val="22"/>
  </w:num>
  <w:num w:numId="34">
    <w:abstractNumId w:val="23"/>
  </w:num>
  <w:num w:numId="35">
    <w:abstractNumId w:val="23"/>
  </w:num>
  <w:num w:numId="36">
    <w:abstractNumId w:val="24"/>
  </w:num>
  <w:num w:numId="37">
    <w:abstractNumId w:val="24"/>
  </w:num>
  <w:num w:numId="38">
    <w:abstractNumId w:val="25"/>
  </w:num>
  <w:num w:numId="39">
    <w:abstractNumId w:val="25"/>
  </w:num>
  <w:num w:numId="40">
    <w:abstractNumId w:val="26"/>
  </w:num>
  <w:num w:numId="41">
    <w:abstractNumId w:val="27"/>
  </w:num>
  <w:num w:numId="42">
    <w:abstractNumId w:val="28"/>
  </w:num>
  <w:num w:numId="43">
    <w:abstractNumId w:val="29"/>
  </w:num>
  <w:num w:numId="44">
    <w:abstractNumId w:val="30"/>
  </w:num>
  <w:num w:numId="45">
    <w:abstractNumId w:val="30"/>
  </w:num>
  <w:num w:numId="46">
    <w:abstractNumId w:val="31"/>
  </w:num>
  <w:num w:numId="47">
    <w:abstractNumId w:val="31"/>
  </w:num>
  <w:num w:numId="48">
    <w:abstractNumId w:val="32"/>
  </w:num>
  <w:num w:numId="49">
    <w:abstractNumId w:val="33"/>
  </w:num>
  <w:num w:numId="50">
    <w:abstractNumId w:val="33"/>
  </w:num>
  <w:num w:numId="51">
    <w:abstractNumId w:val="34"/>
  </w:num>
  <w:num w:numId="52">
    <w:abstractNumId w:val="35"/>
  </w:num>
  <w:num w:numId="53">
    <w:abstractNumId w:val="3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2"/>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rPr>
    </w:rPrDefault>
    <w:pPrDefault>
      <w:pPr/>
    </w:pPrDefault>
  </w:docDefaults>
  <w:style w:type="paragraph" w:default="1" w:styleId="style0">
    <w:name w:val="Normal"/>
    <w:next w:val="style0"/>
    <w:qFormat/>
    <w:uiPriority w:val="0"/>
    <w:pPr>
      <w:widowControl w:val="false"/>
      <w:jc w:val="both"/>
    </w:pPr>
    <w:rPr>
      <w:rFonts w:ascii="Calibri" w:cs="Times New Roman" w:eastAsia="宋体" w:hAnsi="Calibri"/>
      <w:kern w:val="2"/>
      <w:sz w:val="21"/>
      <w:szCs w:val="24"/>
      <w:lang w:val="en-US" w:bidi="ar-SA" w:eastAsia="zh-CN"/>
    </w:rPr>
  </w:style>
  <w:style w:type="character" w:default="1" w:styleId="style65">
    <w:name w:val="Default Paragraph Font"/>
    <w:next w:val="style65"/>
    <w:uiPriority w:val="0"/>
  </w:style>
  <w:style w:type="table" w:default="1" w:styleId="style105">
    <w:name w:val="Normal Table"/>
    <w:next w:val="style105"/>
    <w:uiPriority w:val="0"/>
    <w:pPr/>
    <w:rPr/>
    <w:tblPr>
      <w:tblCellMar>
        <w:top w:w="0" w:type="dxa"/>
        <w:left w:w="108" w:type="dxa"/>
        <w:bottom w:w="0" w:type="dxa"/>
        <w:right w:w="108" w:type="dxa"/>
      </w:tblCellMar>
    </w:tblPr>
    <w:tcPr>
      <w:tcBorders/>
    </w:tcPr>
  </w:style>
  <w:style w:type="paragraph" w:styleId="style66">
    <w:name w:val="Body Text"/>
    <w:basedOn w:val="style0"/>
    <w:next w:val="style66"/>
    <w:qFormat/>
    <w:uiPriority w:val="0"/>
    <w:pPr>
      <w:widowControl w:val="false"/>
      <w:jc w:val="both"/>
    </w:pPr>
    <w:rPr>
      <w:rFonts w:ascii="Calibri" w:cs="Times New Roman" w:eastAsia="宋体" w:hAnsi="Calibri"/>
      <w:kern w:val="2"/>
      <w:sz w:val="21"/>
      <w:szCs w:val="24"/>
      <w:lang w:val="en-US" w:bidi="ar-SA" w:eastAsia="zh-CN"/>
    </w:rPr>
  </w:style>
  <w:style w:type="paragraph" w:styleId="style32">
    <w:name w:val="footer"/>
    <w:basedOn w:val="style0"/>
    <w:next w:val="style32"/>
    <w:uiPriority w:val="0"/>
    <w:pPr>
      <w:tabs>
        <w:tab w:val="center" w:leader="none" w:pos="4153"/>
        <w:tab w:val="right" w:leader="none" w:pos="8306"/>
      </w:tabs>
      <w:snapToGrid w:val="false"/>
      <w:jc w:val="left"/>
    </w:pPr>
    <w:rPr>
      <w:sz w:val="18"/>
    </w:rPr>
  </w:style>
  <w:style w:type="paragraph" w:styleId="style31">
    <w:name w:val="header"/>
    <w:basedOn w:val="style0"/>
    <w:next w:val="style31"/>
    <w:uiPriority w:val="0"/>
    <w:pPr>
      <w:pBdr>
        <w:left w:val="none" w:sz="0" w:space="4" w:color="auto"/>
        <w:right w:val="none" w:sz="0" w:space="4" w:color="auto"/>
        <w:top w:val="none" w:sz="0" w:space="1" w:color="auto"/>
        <w:bottom w:val="none" w:sz="0" w:space="1" w:color="auto"/>
      </w:pBdr>
      <w:tabs>
        <w:tab w:val="center" w:leader="none" w:pos="4153"/>
        <w:tab w:val="right" w:leader="none" w:pos="8306"/>
      </w:tabs>
      <w:snapToGrid w:val="false"/>
      <w:spacing w:lineRule="auto" w:line="240"/>
      <w:jc w:val="both"/>
      <w:outlineLvl w:val="9"/>
    </w:pPr>
    <w:rPr>
      <w:sz w:val="18"/>
    </w:rPr>
  </w:style>
  <w:style w:type="paragraph" w:styleId="style179">
    <w:name w:val="List Paragraph"/>
    <w:basedOn w:val="style0"/>
    <w:next w:val="style179"/>
    <w:qFormat/>
    <w:pPr>
      <w:kinsoku w:val="false"/>
      <w:autoSpaceDE w:val="false"/>
      <w:autoSpaceDN w:val="false"/>
      <w:adjustRightInd w:val="false"/>
      <w:spacing w:after="0" w:lineRule="auto" w:line="240"/>
      <w:ind w:firstLine="420" w:firstLineChars="200"/>
      <w:jc w:val="left"/>
    </w:pPr>
    <w:rPr>
      <w:rFonts w:ascii="Times New Roman" w:cs="Times New Roman" w:eastAsia="宋体" w:hAnsi="Times New Roman"/>
      <w:noProof/>
      <w:snapToGrid w:val="false"/>
      <w:color w:val="000000"/>
      <w:kern w:val="0"/>
      <w:sz w:val="21"/>
    </w:rPr>
  </w:style>
  <w:style w:type="character" w:styleId="style85">
    <w:name w:val="Hyperlink"/>
    <w:basedOn w:val="style65"/>
    <w:next w:val="style85"/>
    <w:rPr>
      <w:rFonts w:ascii="Times New Roman" w:cs="Times New Roman" w:eastAsia="宋体" w:hAnsi="Times New Roman"/>
      <w:color w:val="0000ff"/>
      <w:sz w:val="21"/>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4.png"/><Relationship Id="rId15" Type="http://schemas.openxmlformats.org/officeDocument/2006/relationships/theme" Target="theme/theme1.xml"/><Relationship Id="rId14" Type="http://schemas.openxmlformats.org/officeDocument/2006/relationships/settings" Target="settings.xml"/><Relationship Id="rId16" Type="http://schemas.openxmlformats.org/officeDocument/2006/relationships/customXml" Target="../customXml/item1.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Words>2667</Words>
  <Pages>30</Pages>
  <Characters>3221</Characters>
  <Application>WPS Office</Application>
  <DocSecurity>0</DocSecurity>
  <Paragraphs>128</Paragraphs>
  <ScaleCrop>false</ScaleCrop>
  <LinksUpToDate>false</LinksUpToDate>
  <CharactersWithSpaces>3459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2014-11-07T20:08:00Z</dcterms:created>
  <dc:creator>Administrator</dc:creator>
  <lastModifiedBy>2312DRA50C</lastModifiedBy>
  <lastPrinted>2025-06-01T09:30:57Z</lastPrinted>
  <dcterms:modified xsi:type="dcterms:W3CDTF">2025-09-03T02:05:12Z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baaf80ccc73f470aaca048c8fb8589e9_23</vt:lpwstr>
  </property>
</Properties>
</file>